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18DDA" w14:textId="1C1181F6" w:rsidR="00A95D7E" w:rsidRPr="000B1A98" w:rsidRDefault="00A95D7E" w:rsidP="004C37D0">
      <w:pPr>
        <w:spacing w:line="360" w:lineRule="auto"/>
        <w:jc w:val="both"/>
        <w:rPr>
          <w:rFonts w:ascii="Times New Roman" w:hAnsi="Times New Roman"/>
          <w:b/>
          <w:bCs/>
          <w:sz w:val="24"/>
        </w:rPr>
      </w:pPr>
    </w:p>
    <w:p w14:paraId="66B378B5" w14:textId="20D04E26"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Section 78 Town and Country Planning Act 1990</w:t>
      </w:r>
    </w:p>
    <w:p w14:paraId="7252BF40" w14:textId="31D898E1"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Land off Moorthorpe Way Sheffield</w:t>
      </w:r>
    </w:p>
    <w:p w14:paraId="5D6DCE5F" w14:textId="253311B2"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Appeal by Avant Homes Ltd</w:t>
      </w:r>
    </w:p>
    <w:p w14:paraId="333AB2E8" w14:textId="6DEE2E91" w:rsidR="00B05891" w:rsidRPr="000B1A98" w:rsidRDefault="00B05891" w:rsidP="00734B7E">
      <w:pPr>
        <w:spacing w:line="360" w:lineRule="auto"/>
        <w:jc w:val="center"/>
        <w:rPr>
          <w:rFonts w:ascii="Times New Roman" w:hAnsi="Times New Roman"/>
          <w:b/>
          <w:bCs/>
          <w:sz w:val="24"/>
        </w:rPr>
      </w:pPr>
    </w:p>
    <w:p w14:paraId="657D6B08" w14:textId="56C8A086"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LPA ref: 10/03143/FUL</w:t>
      </w:r>
    </w:p>
    <w:p w14:paraId="69C31329" w14:textId="03A6A65E"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PINS Ref: APP/J4423/W/20/3258555</w:t>
      </w:r>
    </w:p>
    <w:p w14:paraId="2B4915E7" w14:textId="2DDA09C6" w:rsidR="00B05891" w:rsidRPr="000B1A98" w:rsidRDefault="00B05891" w:rsidP="00734B7E">
      <w:pPr>
        <w:spacing w:line="360" w:lineRule="auto"/>
        <w:jc w:val="center"/>
        <w:rPr>
          <w:rFonts w:ascii="Times New Roman" w:hAnsi="Times New Roman"/>
          <w:b/>
          <w:bCs/>
          <w:sz w:val="24"/>
        </w:rPr>
      </w:pPr>
    </w:p>
    <w:p w14:paraId="6FABF1CD" w14:textId="77777777" w:rsidR="00734B7E" w:rsidRPr="000B1A98" w:rsidRDefault="00734B7E" w:rsidP="00734B7E">
      <w:pPr>
        <w:jc w:val="center"/>
        <w:rPr>
          <w:rFonts w:ascii="Times New Roman" w:hAnsi="Times New Roman"/>
          <w:sz w:val="24"/>
        </w:rPr>
      </w:pPr>
      <w:r w:rsidRPr="000B1A98">
        <w:rPr>
          <w:rFonts w:ascii="Times New Roman" w:hAnsi="Times New Roman"/>
          <w:b/>
          <w:bCs/>
          <w:sz w:val="24"/>
        </w:rPr>
        <w:t>_________________________________</w:t>
      </w:r>
    </w:p>
    <w:p w14:paraId="0B0E9ED7" w14:textId="25DECEB0" w:rsidR="00B05891" w:rsidRPr="000B1A98" w:rsidRDefault="00B05891" w:rsidP="00734B7E">
      <w:pPr>
        <w:spacing w:line="360" w:lineRule="auto"/>
        <w:jc w:val="center"/>
        <w:rPr>
          <w:rFonts w:ascii="Times New Roman" w:hAnsi="Times New Roman"/>
          <w:b/>
          <w:bCs/>
          <w:sz w:val="24"/>
        </w:rPr>
      </w:pPr>
      <w:r w:rsidRPr="000B1A98">
        <w:rPr>
          <w:rFonts w:ascii="Times New Roman" w:hAnsi="Times New Roman"/>
          <w:b/>
          <w:bCs/>
          <w:sz w:val="24"/>
        </w:rPr>
        <w:t>Opening Submissions of the Council</w:t>
      </w:r>
    </w:p>
    <w:p w14:paraId="16240922" w14:textId="59364ECB" w:rsidR="00B05891" w:rsidRPr="000B1A98" w:rsidRDefault="00734B7E" w:rsidP="00F87738">
      <w:pPr>
        <w:spacing w:line="360" w:lineRule="auto"/>
        <w:jc w:val="center"/>
        <w:rPr>
          <w:rFonts w:ascii="Times New Roman" w:hAnsi="Times New Roman"/>
          <w:b/>
          <w:bCs/>
          <w:sz w:val="24"/>
        </w:rPr>
      </w:pPr>
      <w:r w:rsidRPr="000B1A98">
        <w:rPr>
          <w:rFonts w:ascii="Times New Roman" w:hAnsi="Times New Roman"/>
          <w:b/>
          <w:bCs/>
          <w:sz w:val="24"/>
        </w:rPr>
        <w:t>_________________________________</w:t>
      </w:r>
    </w:p>
    <w:p w14:paraId="4BAC448C" w14:textId="0C6C0421" w:rsidR="00B05891" w:rsidRPr="000B1A98" w:rsidRDefault="00B05891" w:rsidP="004C37D0">
      <w:pPr>
        <w:spacing w:line="360" w:lineRule="auto"/>
        <w:jc w:val="both"/>
        <w:rPr>
          <w:rFonts w:ascii="Times New Roman" w:hAnsi="Times New Roman"/>
          <w:b/>
          <w:bCs/>
          <w:sz w:val="24"/>
        </w:rPr>
      </w:pPr>
      <w:r w:rsidRPr="000B1A98">
        <w:rPr>
          <w:rFonts w:ascii="Times New Roman" w:hAnsi="Times New Roman"/>
          <w:b/>
          <w:bCs/>
          <w:sz w:val="24"/>
        </w:rPr>
        <w:t>Introduction</w:t>
      </w:r>
    </w:p>
    <w:p w14:paraId="26E71425" w14:textId="425225D7" w:rsidR="00B05891" w:rsidRPr="000B1A98" w:rsidRDefault="00B05891" w:rsidP="004C37D0">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This is an appeal against the Council’s refusal of planning permission for </w:t>
      </w:r>
      <w:r w:rsidR="0021202F" w:rsidRPr="000B1A98">
        <w:rPr>
          <w:rFonts w:ascii="Times New Roman" w:hAnsi="Times New Roman"/>
          <w:sz w:val="24"/>
        </w:rPr>
        <w:t>the erection of (now) 72 dwellings on land off Moorthorpe Way, Sheffield (“the Appeal Site”). There have been a number of amendments to the application since it was submitted most recently as requested on 11</w:t>
      </w:r>
      <w:r w:rsidR="0021202F" w:rsidRPr="000B1A98">
        <w:rPr>
          <w:rFonts w:ascii="Times New Roman" w:hAnsi="Times New Roman"/>
          <w:sz w:val="24"/>
          <w:vertAlign w:val="superscript"/>
        </w:rPr>
        <w:t>th</w:t>
      </w:r>
      <w:r w:rsidR="0021202F" w:rsidRPr="000B1A98">
        <w:rPr>
          <w:rFonts w:ascii="Times New Roman" w:hAnsi="Times New Roman"/>
          <w:sz w:val="24"/>
        </w:rPr>
        <w:t xml:space="preserve"> December. This reduced the number of units from 74 to 72 and made changes to the site boundaries and layout. The Statement of Common Ground has been amended and paragraph 4.15 lists the plans that now comprise the appeal proposals.</w:t>
      </w:r>
    </w:p>
    <w:p w14:paraId="64829167" w14:textId="176497CB" w:rsidR="0021202F" w:rsidRPr="000B1A98" w:rsidRDefault="0021202F" w:rsidP="004C37D0">
      <w:pPr>
        <w:pStyle w:val="ListParagraph"/>
        <w:spacing w:line="360" w:lineRule="auto"/>
        <w:jc w:val="both"/>
        <w:rPr>
          <w:rFonts w:ascii="Times New Roman" w:hAnsi="Times New Roman"/>
          <w:sz w:val="24"/>
        </w:rPr>
      </w:pPr>
    </w:p>
    <w:p w14:paraId="05055177" w14:textId="735A35E3" w:rsidR="0021202F" w:rsidRPr="000B1A98" w:rsidRDefault="0021202F" w:rsidP="004C37D0">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Permission was refused for one reason </w:t>
      </w:r>
      <w:r w:rsidR="00A1389E" w:rsidRPr="000B1A98">
        <w:rPr>
          <w:rFonts w:ascii="Times New Roman" w:hAnsi="Times New Roman"/>
          <w:sz w:val="24"/>
        </w:rPr>
        <w:t xml:space="preserve">which gives rise to a number of issues. These were characterised as follows following the </w:t>
      </w:r>
      <w:r w:rsidR="001718DE" w:rsidRPr="000B1A98">
        <w:rPr>
          <w:rFonts w:ascii="Times New Roman" w:hAnsi="Times New Roman"/>
          <w:sz w:val="24"/>
        </w:rPr>
        <w:t>Case Management Conference:</w:t>
      </w:r>
    </w:p>
    <w:p w14:paraId="2CCA373B" w14:textId="77777777" w:rsidR="001718DE" w:rsidRPr="000B1A98" w:rsidRDefault="001718DE" w:rsidP="004C37D0">
      <w:pPr>
        <w:pStyle w:val="ListParagraph"/>
        <w:spacing w:line="360" w:lineRule="auto"/>
        <w:jc w:val="both"/>
        <w:rPr>
          <w:rFonts w:ascii="Times New Roman" w:hAnsi="Times New Roman"/>
          <w:sz w:val="24"/>
        </w:rPr>
      </w:pPr>
    </w:p>
    <w:p w14:paraId="66D24C69" w14:textId="06248D43" w:rsidR="001718DE" w:rsidRPr="000B1A98" w:rsidRDefault="001718DE" w:rsidP="004C37D0">
      <w:pPr>
        <w:pStyle w:val="ListParagraph"/>
        <w:spacing w:line="360" w:lineRule="auto"/>
        <w:jc w:val="both"/>
        <w:rPr>
          <w:rFonts w:ascii="Times New Roman" w:hAnsi="Times New Roman"/>
          <w:sz w:val="24"/>
        </w:rPr>
      </w:pPr>
      <w:r w:rsidRPr="000B1A98">
        <w:rPr>
          <w:rFonts w:ascii="Times New Roman" w:hAnsi="Times New Roman"/>
          <w:sz w:val="24"/>
        </w:rPr>
        <w:t>Whether or not the development:</w:t>
      </w:r>
    </w:p>
    <w:p w14:paraId="434BF34B" w14:textId="53C167AD" w:rsidR="001718DE" w:rsidRPr="000B1A98" w:rsidRDefault="001718DE" w:rsidP="004C37D0">
      <w:pPr>
        <w:pStyle w:val="ListParagraph"/>
        <w:spacing w:line="360" w:lineRule="auto"/>
        <w:jc w:val="both"/>
        <w:rPr>
          <w:rFonts w:ascii="Times New Roman" w:hAnsi="Times New Roman"/>
          <w:sz w:val="24"/>
        </w:rPr>
      </w:pPr>
    </w:p>
    <w:p w14:paraId="3DB3331C" w14:textId="47364282" w:rsidR="001718DE" w:rsidRPr="000B1A98" w:rsidRDefault="001718DE" w:rsidP="004C37D0">
      <w:pPr>
        <w:pStyle w:val="ListParagraph"/>
        <w:spacing w:line="360" w:lineRule="auto"/>
        <w:jc w:val="both"/>
        <w:rPr>
          <w:rFonts w:ascii="Times New Roman" w:hAnsi="Times New Roman"/>
          <w:sz w:val="24"/>
        </w:rPr>
      </w:pPr>
      <w:r w:rsidRPr="000B1A98">
        <w:rPr>
          <w:rFonts w:ascii="Times New Roman" w:hAnsi="Times New Roman"/>
          <w:sz w:val="24"/>
        </w:rPr>
        <w:t>(B) prejudices the proper planning of the area by not forming</w:t>
      </w:r>
      <w:r w:rsidR="007F0AFE" w:rsidRPr="000B1A98">
        <w:rPr>
          <w:rFonts w:ascii="Times New Roman" w:hAnsi="Times New Roman"/>
          <w:sz w:val="24"/>
        </w:rPr>
        <w:t xml:space="preserve"> part of a comprehensive scheme for the whole of the Owlthorpe development area (Sites C, D, and E);</w:t>
      </w:r>
    </w:p>
    <w:p w14:paraId="07A260C1" w14:textId="7B667253" w:rsidR="007F0AFE" w:rsidRPr="000B1A98" w:rsidRDefault="007F0AFE" w:rsidP="004C37D0">
      <w:pPr>
        <w:pStyle w:val="ListParagraph"/>
        <w:spacing w:line="360" w:lineRule="auto"/>
        <w:jc w:val="both"/>
        <w:rPr>
          <w:rFonts w:ascii="Times New Roman" w:hAnsi="Times New Roman"/>
          <w:sz w:val="24"/>
        </w:rPr>
      </w:pPr>
    </w:p>
    <w:p w14:paraId="243CCC6C" w14:textId="3B5B282C" w:rsidR="007F0AFE" w:rsidRPr="000B1A98" w:rsidRDefault="007F0AFE" w:rsidP="004C37D0">
      <w:pPr>
        <w:pStyle w:val="ListParagraph"/>
        <w:spacing w:line="360" w:lineRule="auto"/>
        <w:jc w:val="both"/>
        <w:rPr>
          <w:rFonts w:ascii="Times New Roman" w:hAnsi="Times New Roman"/>
          <w:sz w:val="24"/>
        </w:rPr>
      </w:pPr>
      <w:r w:rsidRPr="000B1A98">
        <w:rPr>
          <w:rFonts w:ascii="Times New Roman" w:hAnsi="Times New Roman"/>
          <w:sz w:val="24"/>
        </w:rPr>
        <w:lastRenderedPageBreak/>
        <w:t>(C) Fails to respond sufficiently to the area’s prevailing character, green infrastructure</w:t>
      </w:r>
      <w:r w:rsidR="00281450" w:rsidRPr="000B1A98">
        <w:rPr>
          <w:rFonts w:ascii="Times New Roman" w:hAnsi="Times New Roman"/>
          <w:sz w:val="24"/>
        </w:rPr>
        <w:t xml:space="preserve"> and open space;</w:t>
      </w:r>
    </w:p>
    <w:p w14:paraId="3320F6D4" w14:textId="12A9EA80" w:rsidR="00281450" w:rsidRPr="000B1A98" w:rsidRDefault="00281450" w:rsidP="004C37D0">
      <w:pPr>
        <w:pStyle w:val="ListParagraph"/>
        <w:spacing w:line="360" w:lineRule="auto"/>
        <w:jc w:val="both"/>
        <w:rPr>
          <w:rFonts w:ascii="Times New Roman" w:hAnsi="Times New Roman"/>
          <w:sz w:val="24"/>
        </w:rPr>
      </w:pPr>
    </w:p>
    <w:p w14:paraId="74D901D2" w14:textId="30586236" w:rsidR="00281450" w:rsidRPr="000B1A98" w:rsidRDefault="00281450" w:rsidP="004C37D0">
      <w:pPr>
        <w:pStyle w:val="ListParagraph"/>
        <w:spacing w:line="360" w:lineRule="auto"/>
        <w:jc w:val="both"/>
        <w:rPr>
          <w:rFonts w:ascii="Times New Roman" w:hAnsi="Times New Roman"/>
          <w:sz w:val="24"/>
        </w:rPr>
      </w:pPr>
      <w:r w:rsidRPr="000B1A98">
        <w:rPr>
          <w:rFonts w:ascii="Times New Roman" w:hAnsi="Times New Roman"/>
          <w:sz w:val="24"/>
        </w:rPr>
        <w:t>(D) Makes efficient use of land; and</w:t>
      </w:r>
    </w:p>
    <w:p w14:paraId="49BC9041" w14:textId="61F6E7E6" w:rsidR="00281450" w:rsidRPr="000B1A98" w:rsidRDefault="00281450" w:rsidP="004C37D0">
      <w:pPr>
        <w:pStyle w:val="ListParagraph"/>
        <w:spacing w:line="360" w:lineRule="auto"/>
        <w:jc w:val="both"/>
        <w:rPr>
          <w:rFonts w:ascii="Times New Roman" w:hAnsi="Times New Roman"/>
          <w:sz w:val="24"/>
        </w:rPr>
      </w:pPr>
    </w:p>
    <w:p w14:paraId="582B5E09" w14:textId="6050357B" w:rsidR="00281450" w:rsidRPr="000B1A98" w:rsidRDefault="00281450" w:rsidP="004C37D0">
      <w:pPr>
        <w:pStyle w:val="ListParagraph"/>
        <w:spacing w:line="360" w:lineRule="auto"/>
        <w:jc w:val="both"/>
        <w:rPr>
          <w:rFonts w:ascii="Times New Roman" w:hAnsi="Times New Roman"/>
          <w:sz w:val="24"/>
        </w:rPr>
      </w:pPr>
      <w:r w:rsidRPr="000B1A98">
        <w:rPr>
          <w:rFonts w:ascii="Times New Roman" w:hAnsi="Times New Roman"/>
          <w:sz w:val="24"/>
        </w:rPr>
        <w:t>(E) Fails to appropriately integrate affordable housing into the layout.</w:t>
      </w:r>
    </w:p>
    <w:p w14:paraId="0020AAF2" w14:textId="4BA1E44B" w:rsidR="00281450" w:rsidRPr="000B1A98" w:rsidRDefault="00281450" w:rsidP="004C37D0">
      <w:pPr>
        <w:spacing w:line="360" w:lineRule="auto"/>
        <w:jc w:val="both"/>
        <w:rPr>
          <w:rFonts w:ascii="Times New Roman" w:hAnsi="Times New Roman"/>
          <w:sz w:val="24"/>
        </w:rPr>
      </w:pPr>
    </w:p>
    <w:p w14:paraId="4221CDED" w14:textId="0E416FFB" w:rsidR="00F87738" w:rsidRPr="000B1A98" w:rsidRDefault="00281450" w:rsidP="00F87738">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The first main issue that will be addressed at the inquiry </w:t>
      </w:r>
      <w:r w:rsidR="004C37D0" w:rsidRPr="000B1A98">
        <w:rPr>
          <w:rFonts w:ascii="Times New Roman" w:hAnsi="Times New Roman"/>
          <w:sz w:val="24"/>
        </w:rPr>
        <w:t>relates to the impact of the development on ecological interests (Issue A), which is not part of the reason for refusal and on which the Council does not lead evidence.</w:t>
      </w:r>
    </w:p>
    <w:p w14:paraId="7F71AAED" w14:textId="2BBCCE09" w:rsidR="005636E5" w:rsidRPr="000B1A98" w:rsidRDefault="005636E5" w:rsidP="005636E5">
      <w:pPr>
        <w:pStyle w:val="ListParagraph"/>
        <w:spacing w:line="360" w:lineRule="auto"/>
        <w:jc w:val="both"/>
        <w:rPr>
          <w:rFonts w:ascii="Times New Roman" w:hAnsi="Times New Roman"/>
          <w:sz w:val="24"/>
        </w:rPr>
      </w:pPr>
    </w:p>
    <w:p w14:paraId="2B79B971" w14:textId="429BC7B5" w:rsidR="005636E5" w:rsidRPr="000B1A98" w:rsidRDefault="005636E5" w:rsidP="00F87738">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The Council relies on the evidence of Sarah Hull</w:t>
      </w:r>
      <w:r w:rsidR="00465D73" w:rsidRPr="000B1A98">
        <w:rPr>
          <w:rFonts w:ascii="Times New Roman" w:hAnsi="Times New Roman"/>
          <w:sz w:val="24"/>
        </w:rPr>
        <w:t>, a principal planning officer at the Council</w:t>
      </w:r>
      <w:r w:rsidR="004D03B8" w:rsidRPr="000B1A98">
        <w:rPr>
          <w:rFonts w:ascii="Times New Roman" w:hAnsi="Times New Roman"/>
          <w:sz w:val="24"/>
        </w:rPr>
        <w:t>, and Laura Stephens</w:t>
      </w:r>
      <w:r w:rsidR="005C0672" w:rsidRPr="000B1A98">
        <w:rPr>
          <w:rFonts w:ascii="Times New Roman" w:hAnsi="Times New Roman"/>
          <w:sz w:val="24"/>
        </w:rPr>
        <w:t xml:space="preserve">, a planning officer at the Council. Each witness has prepared a main </w:t>
      </w:r>
      <w:r w:rsidR="00A43A16" w:rsidRPr="000B1A98">
        <w:rPr>
          <w:rFonts w:ascii="Times New Roman" w:hAnsi="Times New Roman"/>
          <w:sz w:val="24"/>
        </w:rPr>
        <w:t xml:space="preserve">proof of evidence and a rebuttal proof of evidence. </w:t>
      </w:r>
    </w:p>
    <w:p w14:paraId="2E972FDE" w14:textId="77777777" w:rsidR="00A43A16" w:rsidRPr="000B1A98" w:rsidRDefault="00A43A16" w:rsidP="00A43A16">
      <w:pPr>
        <w:pStyle w:val="ListParagraph"/>
        <w:rPr>
          <w:rFonts w:ascii="Times New Roman" w:hAnsi="Times New Roman"/>
          <w:sz w:val="24"/>
        </w:rPr>
      </w:pPr>
    </w:p>
    <w:p w14:paraId="72E3D896" w14:textId="4C5C1DCF" w:rsidR="000048C4" w:rsidRDefault="00483033" w:rsidP="003558C0">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It is fundamental to the Council’s refusal of permission that this is an application for </w:t>
      </w:r>
      <w:r w:rsidRPr="000B1A98">
        <w:rPr>
          <w:rFonts w:ascii="Times New Roman" w:hAnsi="Times New Roman"/>
          <w:sz w:val="24"/>
          <w:u w:val="single"/>
        </w:rPr>
        <w:t>full</w:t>
      </w:r>
      <w:r w:rsidRPr="000B1A98">
        <w:rPr>
          <w:rFonts w:ascii="Times New Roman" w:hAnsi="Times New Roman"/>
          <w:sz w:val="24"/>
        </w:rPr>
        <w:t xml:space="preserve"> planning permission. T</w:t>
      </w:r>
      <w:r w:rsidR="005443DD" w:rsidRPr="000B1A98">
        <w:rPr>
          <w:rFonts w:ascii="Times New Roman" w:hAnsi="Times New Roman"/>
          <w:sz w:val="24"/>
        </w:rPr>
        <w:t>h</w:t>
      </w:r>
      <w:r w:rsidRPr="000B1A98">
        <w:rPr>
          <w:rFonts w:ascii="Times New Roman" w:hAnsi="Times New Roman"/>
          <w:sz w:val="24"/>
        </w:rPr>
        <w:t xml:space="preserve">e Council does not – and </w:t>
      </w:r>
      <w:r w:rsidR="00270FA4" w:rsidRPr="000B1A98">
        <w:rPr>
          <w:rFonts w:ascii="Times New Roman" w:hAnsi="Times New Roman"/>
          <w:sz w:val="24"/>
        </w:rPr>
        <w:t xml:space="preserve">never did – take issue with the </w:t>
      </w:r>
      <w:r w:rsidR="0032767E" w:rsidRPr="000B1A98">
        <w:rPr>
          <w:rFonts w:ascii="Times New Roman" w:hAnsi="Times New Roman"/>
          <w:sz w:val="24"/>
        </w:rPr>
        <w:t xml:space="preserve">principle of developing this site. It is a site the Council wants to see  – and in due course sites C and D </w:t>
      </w:r>
      <w:r w:rsidR="00162130">
        <w:rPr>
          <w:rFonts w:ascii="Times New Roman" w:hAnsi="Times New Roman"/>
          <w:sz w:val="24"/>
        </w:rPr>
        <w:t>-</w:t>
      </w:r>
      <w:r w:rsidR="00937D9C">
        <w:rPr>
          <w:rFonts w:ascii="Times New Roman" w:hAnsi="Times New Roman"/>
          <w:sz w:val="24"/>
        </w:rPr>
        <w:t xml:space="preserve"> </w:t>
      </w:r>
      <w:r w:rsidR="0032767E" w:rsidRPr="000B1A98">
        <w:rPr>
          <w:rFonts w:ascii="Times New Roman" w:hAnsi="Times New Roman"/>
          <w:sz w:val="24"/>
        </w:rPr>
        <w:t xml:space="preserve"> come forward</w:t>
      </w:r>
      <w:r w:rsidR="0045172D" w:rsidRPr="000B1A98">
        <w:rPr>
          <w:rFonts w:ascii="Times New Roman" w:hAnsi="Times New Roman"/>
          <w:sz w:val="24"/>
        </w:rPr>
        <w:t xml:space="preserve"> (although it is not correct that the Council relies on the site within its five year housing land supply (“HLS”)</w:t>
      </w:r>
      <w:r w:rsidR="000668AF" w:rsidRPr="000B1A98">
        <w:rPr>
          <w:rStyle w:val="FootnoteReference"/>
          <w:rFonts w:ascii="Times New Roman" w:hAnsi="Times New Roman"/>
          <w:sz w:val="24"/>
        </w:rPr>
        <w:footnoteReference w:id="1"/>
      </w:r>
      <w:r w:rsidR="008D47C9" w:rsidRPr="000B1A98">
        <w:rPr>
          <w:rFonts w:ascii="Times New Roman" w:hAnsi="Times New Roman"/>
          <w:sz w:val="24"/>
        </w:rPr>
        <w:t xml:space="preserve">. </w:t>
      </w:r>
      <w:r w:rsidR="005443DD" w:rsidRPr="000B1A98">
        <w:rPr>
          <w:rFonts w:ascii="Times New Roman" w:hAnsi="Times New Roman"/>
          <w:sz w:val="24"/>
        </w:rPr>
        <w:t xml:space="preserve">It should only come forward, however, if and when a high quality design is presented that makes appropriate and efficient use of this development opportunity, and which accords with the design guidance and opportunities identified in the </w:t>
      </w:r>
      <w:r w:rsidR="00693442" w:rsidRPr="000B1A98">
        <w:rPr>
          <w:rFonts w:ascii="Times New Roman" w:hAnsi="Times New Roman"/>
          <w:sz w:val="24"/>
        </w:rPr>
        <w:t>allocation-specific Planning and Design Brief (</w:t>
      </w:r>
      <w:r w:rsidR="00565603" w:rsidRPr="000B1A98">
        <w:rPr>
          <w:rFonts w:ascii="Times New Roman" w:hAnsi="Times New Roman"/>
          <w:sz w:val="24"/>
        </w:rPr>
        <w:t xml:space="preserve">“the Brief” - </w:t>
      </w:r>
      <w:r w:rsidR="00693442" w:rsidRPr="000B1A98">
        <w:rPr>
          <w:rFonts w:ascii="Times New Roman" w:hAnsi="Times New Roman"/>
          <w:sz w:val="24"/>
        </w:rPr>
        <w:t xml:space="preserve">CD 5.19). Unfortunately, that is not the case with the appeal proposals. The scheme has been </w:t>
      </w:r>
      <w:r w:rsidR="00937D9C">
        <w:rPr>
          <w:rFonts w:ascii="Times New Roman" w:hAnsi="Times New Roman"/>
          <w:sz w:val="24"/>
        </w:rPr>
        <w:t>im</w:t>
      </w:r>
      <w:r w:rsidR="00693442" w:rsidRPr="000B1A98">
        <w:rPr>
          <w:rFonts w:ascii="Times New Roman" w:hAnsi="Times New Roman"/>
          <w:sz w:val="24"/>
        </w:rPr>
        <w:t>proved through the appeal process with the iterative amendments – but ultimately remains unacceptable and should be refused to allow a</w:t>
      </w:r>
      <w:r w:rsidR="00937D9C">
        <w:rPr>
          <w:rFonts w:ascii="Times New Roman" w:hAnsi="Times New Roman"/>
          <w:sz w:val="24"/>
        </w:rPr>
        <w:t xml:space="preserve"> better and appropriate</w:t>
      </w:r>
      <w:r w:rsidR="00693442" w:rsidRPr="000B1A98">
        <w:rPr>
          <w:rFonts w:ascii="Times New Roman" w:hAnsi="Times New Roman"/>
          <w:sz w:val="24"/>
        </w:rPr>
        <w:t xml:space="preserve"> scheme to come forward. The permission granted for site E – and the design principles thereby endorsed – will have significant implications for the development of sites C and D.</w:t>
      </w:r>
    </w:p>
    <w:p w14:paraId="04F06EA3" w14:textId="77777777" w:rsidR="003558C0" w:rsidRPr="003558C0" w:rsidRDefault="003558C0" w:rsidP="003558C0">
      <w:pPr>
        <w:pStyle w:val="ListParagraph"/>
        <w:spacing w:line="360" w:lineRule="auto"/>
        <w:jc w:val="both"/>
        <w:rPr>
          <w:rFonts w:ascii="Times New Roman" w:hAnsi="Times New Roman"/>
          <w:sz w:val="24"/>
        </w:rPr>
      </w:pPr>
    </w:p>
    <w:p w14:paraId="78879F28" w14:textId="38CD3F85" w:rsidR="00693442" w:rsidRPr="003558C0" w:rsidRDefault="000048C4" w:rsidP="003558C0">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These submissions do not attempt to set out the Council’s case in any detail</w:t>
      </w:r>
      <w:r w:rsidR="00444A96" w:rsidRPr="000B1A98">
        <w:rPr>
          <w:rFonts w:ascii="Times New Roman" w:hAnsi="Times New Roman"/>
          <w:sz w:val="24"/>
        </w:rPr>
        <w:t xml:space="preserve"> as it is set out comprehensively in the Council’s evidence, but rather to provide its outline. </w:t>
      </w:r>
    </w:p>
    <w:p w14:paraId="67619E96" w14:textId="77777777" w:rsidR="003558C0" w:rsidRPr="003558C0" w:rsidRDefault="003558C0" w:rsidP="003558C0">
      <w:pPr>
        <w:rPr>
          <w:rFonts w:ascii="Times New Roman" w:hAnsi="Times New Roman"/>
          <w:sz w:val="24"/>
        </w:rPr>
      </w:pPr>
    </w:p>
    <w:p w14:paraId="1B3BEF5F" w14:textId="6F62E843" w:rsidR="00693442" w:rsidRPr="000B1A98" w:rsidRDefault="00693442" w:rsidP="00693442">
      <w:pPr>
        <w:spacing w:line="360" w:lineRule="auto"/>
        <w:jc w:val="both"/>
        <w:rPr>
          <w:rFonts w:ascii="Times New Roman" w:hAnsi="Times New Roman"/>
          <w:b/>
          <w:bCs/>
          <w:sz w:val="24"/>
        </w:rPr>
      </w:pPr>
      <w:r w:rsidRPr="000B1A98">
        <w:rPr>
          <w:rFonts w:ascii="Times New Roman" w:hAnsi="Times New Roman"/>
          <w:b/>
          <w:bCs/>
          <w:sz w:val="24"/>
        </w:rPr>
        <w:t xml:space="preserve">Issue C: </w:t>
      </w:r>
      <w:r w:rsidR="00635F95" w:rsidRPr="000B1A98">
        <w:rPr>
          <w:rFonts w:ascii="Times New Roman" w:hAnsi="Times New Roman"/>
          <w:b/>
          <w:bCs/>
          <w:sz w:val="24"/>
        </w:rPr>
        <w:t>Character, Green Infrastructure and Open Space.</w:t>
      </w:r>
    </w:p>
    <w:p w14:paraId="12D83D9E" w14:textId="4A7906F5" w:rsidR="00B05891" w:rsidRPr="000B1A98" w:rsidRDefault="00CC44FB" w:rsidP="008035A5">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National policy requires</w:t>
      </w:r>
      <w:r w:rsidR="00BB27E4" w:rsidRPr="000B1A98">
        <w:rPr>
          <w:rFonts w:ascii="Times New Roman" w:hAnsi="Times New Roman"/>
          <w:sz w:val="24"/>
        </w:rPr>
        <w:t xml:space="preserve"> permission to be refused for development of poor design that fails to take the opportunities available for improving the character and quality of an area and the way it functions</w:t>
      </w:r>
      <w:r w:rsidR="00634B29">
        <w:rPr>
          <w:rStyle w:val="FootnoteReference"/>
          <w:rFonts w:ascii="Times New Roman" w:hAnsi="Times New Roman"/>
          <w:sz w:val="24"/>
        </w:rPr>
        <w:footnoteReference w:id="2"/>
      </w:r>
      <w:r w:rsidR="00BB27E4" w:rsidRPr="000B1A98">
        <w:rPr>
          <w:rFonts w:ascii="Times New Roman" w:hAnsi="Times New Roman"/>
          <w:sz w:val="24"/>
        </w:rPr>
        <w:t>. In</w:t>
      </w:r>
      <w:r w:rsidR="004D064F" w:rsidRPr="000B1A98">
        <w:rPr>
          <w:rFonts w:ascii="Times New Roman" w:hAnsi="Times New Roman"/>
          <w:sz w:val="24"/>
        </w:rPr>
        <w:t xml:space="preserve"> concluding on whether proposals amount to good – as opposed to poor – design </w:t>
      </w:r>
      <w:r w:rsidR="00396A54" w:rsidRPr="000B1A98">
        <w:rPr>
          <w:rFonts w:ascii="Times New Roman" w:hAnsi="Times New Roman"/>
          <w:sz w:val="24"/>
        </w:rPr>
        <w:t>local design principles and supplementary planning guidance should be taken into acco</w:t>
      </w:r>
      <w:r w:rsidR="00F668D5" w:rsidRPr="000B1A98">
        <w:rPr>
          <w:rFonts w:ascii="Times New Roman" w:hAnsi="Times New Roman"/>
          <w:sz w:val="24"/>
        </w:rPr>
        <w:t>u</w:t>
      </w:r>
      <w:r w:rsidR="00396A54" w:rsidRPr="000B1A98">
        <w:rPr>
          <w:rFonts w:ascii="Times New Roman" w:hAnsi="Times New Roman"/>
          <w:sz w:val="24"/>
        </w:rPr>
        <w:t xml:space="preserve">nt. Such guidance </w:t>
      </w:r>
      <w:r w:rsidR="007631DA" w:rsidRPr="000B1A98">
        <w:rPr>
          <w:rFonts w:ascii="Times New Roman" w:hAnsi="Times New Roman"/>
          <w:sz w:val="24"/>
        </w:rPr>
        <w:t>help</w:t>
      </w:r>
      <w:r w:rsidR="00634B29">
        <w:rPr>
          <w:rFonts w:ascii="Times New Roman" w:hAnsi="Times New Roman"/>
          <w:sz w:val="24"/>
        </w:rPr>
        <w:t>s</w:t>
      </w:r>
      <w:r w:rsidR="007631DA" w:rsidRPr="000B1A98">
        <w:rPr>
          <w:rFonts w:ascii="Times New Roman" w:hAnsi="Times New Roman"/>
          <w:sz w:val="24"/>
        </w:rPr>
        <w:t xml:space="preserve"> provide clarity, and provide a framework for creating distinctive places with a consistent and high quality standard of design</w:t>
      </w:r>
      <w:r w:rsidR="007631DA" w:rsidRPr="000B1A98">
        <w:rPr>
          <w:rStyle w:val="FootnoteReference"/>
          <w:rFonts w:ascii="Times New Roman" w:hAnsi="Times New Roman"/>
          <w:sz w:val="24"/>
        </w:rPr>
        <w:footnoteReference w:id="3"/>
      </w:r>
      <w:r w:rsidR="007631DA" w:rsidRPr="000B1A98">
        <w:rPr>
          <w:rFonts w:ascii="Times New Roman" w:hAnsi="Times New Roman"/>
          <w:sz w:val="24"/>
        </w:rPr>
        <w:t>.</w:t>
      </w:r>
      <w:r w:rsidR="00F668D5" w:rsidRPr="000B1A98">
        <w:rPr>
          <w:rFonts w:ascii="Times New Roman" w:hAnsi="Times New Roman"/>
          <w:sz w:val="24"/>
        </w:rPr>
        <w:t xml:space="preserve"> Where an application is a full one, if the design does not meet these standards then permission should be refused.</w:t>
      </w:r>
    </w:p>
    <w:p w14:paraId="717FDE73" w14:textId="77777777" w:rsidR="00470244" w:rsidRPr="000B1A98" w:rsidRDefault="00470244" w:rsidP="00470244">
      <w:pPr>
        <w:pStyle w:val="ListParagraph"/>
        <w:spacing w:line="360" w:lineRule="auto"/>
        <w:jc w:val="both"/>
        <w:rPr>
          <w:rFonts w:ascii="Times New Roman" w:hAnsi="Times New Roman"/>
          <w:sz w:val="24"/>
        </w:rPr>
      </w:pPr>
    </w:p>
    <w:p w14:paraId="4558582A" w14:textId="35FE9D53" w:rsidR="00DD198B" w:rsidRPr="000B1A98" w:rsidRDefault="00DD198B" w:rsidP="008035A5">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National policy also provides guidance on the standard a development must achieve. It must function well and add to the overall quality of the area.</w:t>
      </w:r>
      <w:r w:rsidR="008E655F">
        <w:rPr>
          <w:rStyle w:val="FootnoteReference"/>
          <w:rFonts w:ascii="Times New Roman" w:hAnsi="Times New Roman"/>
          <w:sz w:val="24"/>
        </w:rPr>
        <w:footnoteReference w:id="4"/>
      </w:r>
      <w:r w:rsidRPr="000B1A98">
        <w:rPr>
          <w:rFonts w:ascii="Times New Roman" w:hAnsi="Times New Roman"/>
          <w:sz w:val="24"/>
        </w:rPr>
        <w:t xml:space="preserve"> It must deploy good architecture, </w:t>
      </w:r>
      <w:r w:rsidR="00C629C5" w:rsidRPr="000B1A98">
        <w:rPr>
          <w:rFonts w:ascii="Times New Roman" w:hAnsi="Times New Roman"/>
          <w:sz w:val="24"/>
        </w:rPr>
        <w:t xml:space="preserve">layout and appropriate and effective landscaping to ensure it is visually attractive. </w:t>
      </w:r>
      <w:r w:rsidR="00B3361C" w:rsidRPr="000B1A98">
        <w:rPr>
          <w:rFonts w:ascii="Times New Roman" w:hAnsi="Times New Roman"/>
          <w:sz w:val="24"/>
        </w:rPr>
        <w:t>Residential development</w:t>
      </w:r>
      <w:r w:rsidR="00C629C5" w:rsidRPr="000B1A98">
        <w:rPr>
          <w:rFonts w:ascii="Times New Roman" w:hAnsi="Times New Roman"/>
          <w:sz w:val="24"/>
        </w:rPr>
        <w:t xml:space="preserve"> must be sympathetic to loca</w:t>
      </w:r>
      <w:r w:rsidR="00470244" w:rsidRPr="000B1A98">
        <w:rPr>
          <w:rFonts w:ascii="Times New Roman" w:hAnsi="Times New Roman"/>
          <w:sz w:val="24"/>
        </w:rPr>
        <w:t>l</w:t>
      </w:r>
      <w:r w:rsidR="00C629C5" w:rsidRPr="000B1A98">
        <w:rPr>
          <w:rFonts w:ascii="Times New Roman" w:hAnsi="Times New Roman"/>
          <w:sz w:val="24"/>
        </w:rPr>
        <w:t xml:space="preserve"> character, including the local landscape setting</w:t>
      </w:r>
      <w:r w:rsidR="00B3361C" w:rsidRPr="000B1A98">
        <w:rPr>
          <w:rFonts w:ascii="Times New Roman" w:hAnsi="Times New Roman"/>
          <w:sz w:val="24"/>
        </w:rPr>
        <w:t xml:space="preserve">, and it must establish a strong sense of place, creating an attractive, welcoming and distinctive place to live. It must optimise the potential of the site to accommodate and sustain </w:t>
      </w:r>
      <w:r w:rsidR="00BC1E19" w:rsidRPr="000B1A98">
        <w:rPr>
          <w:rFonts w:ascii="Times New Roman" w:hAnsi="Times New Roman"/>
          <w:sz w:val="24"/>
        </w:rPr>
        <w:t xml:space="preserve">an appropriate amount and mix of development including green and open space. It must </w:t>
      </w:r>
      <w:r w:rsidR="001C795E" w:rsidRPr="000B1A98">
        <w:rPr>
          <w:rFonts w:ascii="Times New Roman" w:hAnsi="Times New Roman"/>
          <w:sz w:val="24"/>
        </w:rPr>
        <w:t>c</w:t>
      </w:r>
      <w:r w:rsidR="00BC1E19" w:rsidRPr="000B1A98">
        <w:rPr>
          <w:rFonts w:ascii="Times New Roman" w:hAnsi="Times New Roman"/>
          <w:sz w:val="24"/>
        </w:rPr>
        <w:t>reate places that are safe</w:t>
      </w:r>
      <w:r w:rsidR="001C795E" w:rsidRPr="000B1A98">
        <w:rPr>
          <w:rFonts w:ascii="Times New Roman" w:hAnsi="Times New Roman"/>
          <w:sz w:val="24"/>
        </w:rPr>
        <w:t xml:space="preserve"> and inclusive</w:t>
      </w:r>
      <w:r w:rsidR="001C795E" w:rsidRPr="000B1A98">
        <w:rPr>
          <w:rStyle w:val="FootnoteReference"/>
          <w:rFonts w:ascii="Times New Roman" w:hAnsi="Times New Roman"/>
          <w:sz w:val="24"/>
        </w:rPr>
        <w:footnoteReference w:id="5"/>
      </w:r>
      <w:r w:rsidR="001C795E" w:rsidRPr="000B1A98">
        <w:rPr>
          <w:rFonts w:ascii="Times New Roman" w:hAnsi="Times New Roman"/>
          <w:sz w:val="24"/>
        </w:rPr>
        <w:t xml:space="preserve">. </w:t>
      </w:r>
    </w:p>
    <w:p w14:paraId="6020107D" w14:textId="77777777" w:rsidR="00470244" w:rsidRPr="000B1A98" w:rsidRDefault="00470244" w:rsidP="00470244">
      <w:pPr>
        <w:pStyle w:val="ListParagraph"/>
        <w:rPr>
          <w:rFonts w:ascii="Times New Roman" w:hAnsi="Times New Roman"/>
          <w:sz w:val="24"/>
        </w:rPr>
      </w:pPr>
    </w:p>
    <w:p w14:paraId="7FB50F7C" w14:textId="1CD4DADF" w:rsidR="00470244" w:rsidRPr="000B1A98" w:rsidRDefault="006E43F9" w:rsidP="008035A5">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The development plan </w:t>
      </w:r>
      <w:r w:rsidR="007D592B" w:rsidRPr="000B1A98">
        <w:rPr>
          <w:rFonts w:ascii="Times New Roman" w:hAnsi="Times New Roman"/>
          <w:sz w:val="24"/>
        </w:rPr>
        <w:t xml:space="preserve">allocates the site together with sites C and D (H13) and requires </w:t>
      </w:r>
      <w:r w:rsidR="008175E4" w:rsidRPr="000B1A98">
        <w:rPr>
          <w:rFonts w:ascii="Times New Roman" w:hAnsi="Times New Roman"/>
          <w:sz w:val="24"/>
        </w:rPr>
        <w:t xml:space="preserve">such allocations to </w:t>
      </w:r>
      <w:r w:rsidR="006B0E5C" w:rsidRPr="000B1A98">
        <w:rPr>
          <w:rFonts w:ascii="Times New Roman" w:hAnsi="Times New Roman"/>
          <w:sz w:val="24"/>
        </w:rPr>
        <w:t>create new buildings that are well designed</w:t>
      </w:r>
      <w:r w:rsidR="00430423" w:rsidRPr="000B1A98">
        <w:rPr>
          <w:rFonts w:ascii="Times New Roman" w:hAnsi="Times New Roman"/>
          <w:sz w:val="24"/>
        </w:rPr>
        <w:t xml:space="preserve"> and well laid out, and to provide appropriate environmental buffers and meet the</w:t>
      </w:r>
      <w:r w:rsidR="00176605" w:rsidRPr="000B1A98">
        <w:rPr>
          <w:rFonts w:ascii="Times New Roman" w:hAnsi="Times New Roman"/>
          <w:sz w:val="24"/>
        </w:rPr>
        <w:t xml:space="preserve"> policies for the built and green development</w:t>
      </w:r>
      <w:r w:rsidR="00AA34D3" w:rsidRPr="000B1A98">
        <w:rPr>
          <w:rStyle w:val="FootnoteReference"/>
          <w:rFonts w:ascii="Times New Roman" w:hAnsi="Times New Roman"/>
          <w:sz w:val="24"/>
        </w:rPr>
        <w:footnoteReference w:id="6"/>
      </w:r>
      <w:r w:rsidR="00176605" w:rsidRPr="000B1A98">
        <w:rPr>
          <w:rFonts w:ascii="Times New Roman" w:hAnsi="Times New Roman"/>
          <w:sz w:val="24"/>
        </w:rPr>
        <w:t xml:space="preserve"> (H14</w:t>
      </w:r>
      <w:r w:rsidR="00691D87" w:rsidRPr="000B1A98">
        <w:rPr>
          <w:rFonts w:ascii="Times New Roman" w:hAnsi="Times New Roman"/>
          <w:sz w:val="24"/>
        </w:rPr>
        <w:t xml:space="preserve"> and (H15). </w:t>
      </w:r>
      <w:r w:rsidR="00AA3BF1" w:rsidRPr="000B1A98">
        <w:rPr>
          <w:rFonts w:ascii="Times New Roman" w:hAnsi="Times New Roman"/>
          <w:sz w:val="24"/>
        </w:rPr>
        <w:t>These housing policies are to be implemented through planning decisions and</w:t>
      </w:r>
      <w:r w:rsidR="00F477C6" w:rsidRPr="000B1A98">
        <w:rPr>
          <w:rFonts w:ascii="Times New Roman" w:hAnsi="Times New Roman"/>
          <w:sz w:val="24"/>
        </w:rPr>
        <w:t xml:space="preserve">, as appropriate, guided by the publication of supplementary planning guidance. </w:t>
      </w:r>
      <w:r w:rsidR="008A34AD" w:rsidRPr="000B1A98">
        <w:rPr>
          <w:rFonts w:ascii="Times New Roman" w:hAnsi="Times New Roman"/>
          <w:sz w:val="24"/>
        </w:rPr>
        <w:t>(</w:t>
      </w:r>
      <w:r w:rsidR="00F477C6" w:rsidRPr="000B1A98">
        <w:rPr>
          <w:rFonts w:ascii="Times New Roman" w:hAnsi="Times New Roman"/>
          <w:sz w:val="24"/>
        </w:rPr>
        <w:t xml:space="preserve">It is wrong to suggest that supporting text </w:t>
      </w:r>
      <w:r w:rsidR="0008161E" w:rsidRPr="000B1A98">
        <w:rPr>
          <w:rFonts w:ascii="Times New Roman" w:hAnsi="Times New Roman"/>
          <w:sz w:val="24"/>
        </w:rPr>
        <w:t xml:space="preserve">is somehow blue pencilled </w:t>
      </w:r>
      <w:r w:rsidR="00056238" w:rsidRPr="000B1A98">
        <w:rPr>
          <w:rFonts w:ascii="Times New Roman" w:hAnsi="Times New Roman"/>
          <w:sz w:val="24"/>
        </w:rPr>
        <w:t>by a saving direction – it continues to have effect so that the policy continues with unchanged meaning and effect (</w:t>
      </w:r>
      <w:r w:rsidR="002467F1" w:rsidRPr="000B1A98">
        <w:rPr>
          <w:rFonts w:ascii="Times New Roman" w:hAnsi="Times New Roman"/>
          <w:sz w:val="24"/>
          <w:u w:val="single"/>
        </w:rPr>
        <w:t xml:space="preserve">R (oao Cherkley Campaign Ltd) v Mole Valley DC </w:t>
      </w:r>
      <w:r w:rsidR="002467F1" w:rsidRPr="000B1A98">
        <w:rPr>
          <w:rFonts w:ascii="Times New Roman" w:hAnsi="Times New Roman"/>
          <w:sz w:val="24"/>
        </w:rPr>
        <w:t>[2</w:t>
      </w:r>
      <w:r w:rsidR="00952F75" w:rsidRPr="000B1A98">
        <w:rPr>
          <w:rFonts w:ascii="Times New Roman" w:hAnsi="Times New Roman"/>
          <w:sz w:val="24"/>
        </w:rPr>
        <w:t xml:space="preserve">014] EWCA Civ 567, at 18). In any event, such guidance remains a material consideration). </w:t>
      </w:r>
    </w:p>
    <w:p w14:paraId="6F075EF5" w14:textId="77777777" w:rsidR="00565603" w:rsidRPr="000B1A98" w:rsidRDefault="00565603" w:rsidP="00565603">
      <w:pPr>
        <w:pStyle w:val="ListParagraph"/>
        <w:rPr>
          <w:rFonts w:ascii="Times New Roman" w:hAnsi="Times New Roman"/>
          <w:sz w:val="24"/>
        </w:rPr>
      </w:pPr>
    </w:p>
    <w:p w14:paraId="1BF3B22E" w14:textId="3D8342AB" w:rsidR="00565603" w:rsidRPr="000B1A98" w:rsidRDefault="00565603" w:rsidP="008035A5">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lastRenderedPageBreak/>
        <w:t>The Brief</w:t>
      </w:r>
      <w:r w:rsidR="00D90FF0" w:rsidRPr="000B1A98">
        <w:rPr>
          <w:rFonts w:ascii="Times New Roman" w:hAnsi="Times New Roman"/>
          <w:sz w:val="24"/>
        </w:rPr>
        <w:t xml:space="preserve"> is up-to-date supplementary planning guidance consulted upon akin to SPD and adopted by the Council. It specifically and only relates to the development of </w:t>
      </w:r>
      <w:r w:rsidR="00B3128C" w:rsidRPr="000B1A98">
        <w:rPr>
          <w:rFonts w:ascii="Times New Roman" w:hAnsi="Times New Roman"/>
          <w:sz w:val="24"/>
        </w:rPr>
        <w:t>the three Owlthorpe sites</w:t>
      </w:r>
      <w:r w:rsidR="00FA743B" w:rsidRPr="000B1A98">
        <w:rPr>
          <w:rFonts w:ascii="Times New Roman" w:hAnsi="Times New Roman"/>
          <w:sz w:val="24"/>
        </w:rPr>
        <w:t>, and has as its vision that the new development at Owlthorpe should reflect the distinctive green character of the setting and utilise the site’s natural assets</w:t>
      </w:r>
      <w:r w:rsidR="00FA743B" w:rsidRPr="000B1A98">
        <w:rPr>
          <w:rStyle w:val="FootnoteReference"/>
          <w:rFonts w:ascii="Times New Roman" w:hAnsi="Times New Roman"/>
          <w:sz w:val="24"/>
        </w:rPr>
        <w:footnoteReference w:id="7"/>
      </w:r>
      <w:r w:rsidR="00FA743B" w:rsidRPr="000B1A98">
        <w:rPr>
          <w:rFonts w:ascii="Times New Roman" w:hAnsi="Times New Roman"/>
          <w:sz w:val="24"/>
        </w:rPr>
        <w:t xml:space="preserve">. </w:t>
      </w:r>
      <w:r w:rsidR="008D414E" w:rsidRPr="000B1A98">
        <w:rPr>
          <w:rFonts w:ascii="Times New Roman" w:hAnsi="Times New Roman"/>
          <w:sz w:val="24"/>
        </w:rPr>
        <w:t xml:space="preserve">Its </w:t>
      </w:r>
      <w:r w:rsidR="00064F71" w:rsidRPr="000B1A98">
        <w:rPr>
          <w:rFonts w:ascii="Times New Roman" w:hAnsi="Times New Roman"/>
          <w:sz w:val="24"/>
        </w:rPr>
        <w:t>objectives</w:t>
      </w:r>
      <w:r w:rsidR="008D414E" w:rsidRPr="000B1A98">
        <w:rPr>
          <w:rFonts w:ascii="Times New Roman" w:hAnsi="Times New Roman"/>
          <w:sz w:val="24"/>
        </w:rPr>
        <w:t xml:space="preserve"> include, of particular relevance to the reason for refusal, </w:t>
      </w:r>
      <w:r w:rsidR="002C0718" w:rsidRPr="000B1A98">
        <w:rPr>
          <w:rFonts w:ascii="Times New Roman" w:hAnsi="Times New Roman"/>
          <w:sz w:val="24"/>
        </w:rPr>
        <w:t xml:space="preserve">the promotion of high quality development that makes a positive contribution to </w:t>
      </w:r>
      <w:r w:rsidR="00D74E74">
        <w:rPr>
          <w:rFonts w:ascii="Times New Roman" w:hAnsi="Times New Roman"/>
          <w:sz w:val="24"/>
        </w:rPr>
        <w:t>the</w:t>
      </w:r>
      <w:r w:rsidR="002C0718" w:rsidRPr="000B1A98">
        <w:rPr>
          <w:rFonts w:ascii="Times New Roman" w:hAnsi="Times New Roman"/>
          <w:sz w:val="24"/>
        </w:rPr>
        <w:t xml:space="preserve"> neighbourhood, to </w:t>
      </w:r>
      <w:r w:rsidR="006549E5" w:rsidRPr="000B1A98">
        <w:rPr>
          <w:rFonts w:ascii="Times New Roman" w:hAnsi="Times New Roman"/>
          <w:sz w:val="24"/>
        </w:rPr>
        <w:t>enable a co-ordinated and comprehensive approach to the sites, and to optimise the value of the setting and site features</w:t>
      </w:r>
      <w:r w:rsidR="00D92B78" w:rsidRPr="000B1A98">
        <w:rPr>
          <w:rFonts w:ascii="Times New Roman" w:hAnsi="Times New Roman"/>
          <w:sz w:val="24"/>
        </w:rPr>
        <w:t>, such as its distinctive landscape and topography</w:t>
      </w:r>
      <w:r w:rsidR="00D92B78" w:rsidRPr="000B1A98">
        <w:rPr>
          <w:rStyle w:val="FootnoteReference"/>
          <w:rFonts w:ascii="Times New Roman" w:hAnsi="Times New Roman"/>
          <w:sz w:val="24"/>
        </w:rPr>
        <w:footnoteReference w:id="8"/>
      </w:r>
      <w:r w:rsidR="00D92B78" w:rsidRPr="000B1A98">
        <w:rPr>
          <w:rFonts w:ascii="Times New Roman" w:hAnsi="Times New Roman"/>
          <w:sz w:val="24"/>
        </w:rPr>
        <w:t>. The requirement for a comprehensive approach across the three sites is emphasised</w:t>
      </w:r>
      <w:r w:rsidR="00D92B78" w:rsidRPr="000B1A98">
        <w:rPr>
          <w:rStyle w:val="FootnoteReference"/>
          <w:rFonts w:ascii="Times New Roman" w:hAnsi="Times New Roman"/>
          <w:sz w:val="24"/>
        </w:rPr>
        <w:footnoteReference w:id="9"/>
      </w:r>
      <w:r w:rsidR="00D92B78" w:rsidRPr="000B1A98">
        <w:rPr>
          <w:rFonts w:ascii="Times New Roman" w:hAnsi="Times New Roman"/>
          <w:sz w:val="24"/>
        </w:rPr>
        <w:t xml:space="preserve">. </w:t>
      </w:r>
      <w:r w:rsidR="00516E78" w:rsidRPr="000B1A98">
        <w:rPr>
          <w:rFonts w:ascii="Times New Roman" w:hAnsi="Times New Roman"/>
          <w:sz w:val="24"/>
        </w:rPr>
        <w:t>The Brief identifies constraints and opportunities – which opportunities must be taken to comply with national policy</w:t>
      </w:r>
      <w:r w:rsidR="00981BBC" w:rsidRPr="000B1A98">
        <w:rPr>
          <w:rFonts w:ascii="Times New Roman" w:hAnsi="Times New Roman"/>
          <w:sz w:val="24"/>
        </w:rPr>
        <w:t>, and provides an urban design framework</w:t>
      </w:r>
      <w:r w:rsidR="007920ED" w:rsidRPr="000B1A98">
        <w:rPr>
          <w:rFonts w:ascii="Times New Roman" w:hAnsi="Times New Roman"/>
          <w:sz w:val="24"/>
        </w:rPr>
        <w:t xml:space="preserve">. Of particular importance it sets out key design principles. These inform whether the </w:t>
      </w:r>
      <w:r w:rsidR="0034384C" w:rsidRPr="000B1A98">
        <w:rPr>
          <w:rFonts w:ascii="Times New Roman" w:hAnsi="Times New Roman"/>
          <w:sz w:val="24"/>
        </w:rPr>
        <w:t>design standards of the development plan are met. Unsurprisingly, these emphasise the importance of the green environment and setting of this open, greenfield site</w:t>
      </w:r>
      <w:r w:rsidR="00DF0048" w:rsidRPr="000B1A98">
        <w:rPr>
          <w:rFonts w:ascii="Times New Roman" w:hAnsi="Times New Roman"/>
          <w:sz w:val="24"/>
        </w:rPr>
        <w:t xml:space="preserve">. </w:t>
      </w:r>
      <w:r w:rsidR="00DB48D8" w:rsidRPr="000B1A98">
        <w:rPr>
          <w:rFonts w:ascii="Times New Roman" w:hAnsi="Times New Roman"/>
          <w:sz w:val="24"/>
        </w:rPr>
        <w:t xml:space="preserve">It is essential that the interfaces between the development and the open space or the woodland edges </w:t>
      </w:r>
      <w:r w:rsidR="008A541E" w:rsidRPr="000B1A98">
        <w:rPr>
          <w:rFonts w:ascii="Times New Roman" w:hAnsi="Times New Roman"/>
          <w:sz w:val="24"/>
        </w:rPr>
        <w:t xml:space="preserve">are carefully designed to </w:t>
      </w:r>
      <w:r w:rsidR="00064F71" w:rsidRPr="000B1A98">
        <w:rPr>
          <w:rFonts w:ascii="Times New Roman" w:hAnsi="Times New Roman"/>
          <w:sz w:val="24"/>
        </w:rPr>
        <w:t>provide</w:t>
      </w:r>
      <w:r w:rsidR="008A541E" w:rsidRPr="000B1A98">
        <w:rPr>
          <w:rFonts w:ascii="Times New Roman" w:hAnsi="Times New Roman"/>
          <w:sz w:val="24"/>
        </w:rPr>
        <w:t xml:space="preserve"> value to new residents and to enhance landscape quality. The landscape </w:t>
      </w:r>
      <w:r w:rsidR="00173606" w:rsidRPr="000B1A98">
        <w:rPr>
          <w:rFonts w:ascii="Times New Roman" w:hAnsi="Times New Roman"/>
          <w:sz w:val="24"/>
        </w:rPr>
        <w:t xml:space="preserve">setting must feature significantly in the development of character. The development must contribute </w:t>
      </w:r>
      <w:r w:rsidR="00AE2AEA" w:rsidRPr="000B1A98">
        <w:rPr>
          <w:rFonts w:ascii="Times New Roman" w:hAnsi="Times New Roman"/>
          <w:sz w:val="24"/>
        </w:rPr>
        <w:t>to the success of the green infrastructure in this area</w:t>
      </w:r>
      <w:r w:rsidR="00C149F1" w:rsidRPr="000B1A98">
        <w:rPr>
          <w:rFonts w:ascii="Times New Roman" w:hAnsi="Times New Roman"/>
          <w:sz w:val="24"/>
        </w:rPr>
        <w:t xml:space="preserve"> to enable</w:t>
      </w:r>
      <w:r w:rsidR="00C66C98" w:rsidRPr="000B1A98">
        <w:rPr>
          <w:rFonts w:ascii="Times New Roman" w:hAnsi="Times New Roman"/>
          <w:sz w:val="24"/>
        </w:rPr>
        <w:t xml:space="preserve"> more sustainable development and lifestyles</w:t>
      </w:r>
      <w:r w:rsidR="00C66C98" w:rsidRPr="000B1A98">
        <w:rPr>
          <w:rStyle w:val="FootnoteReference"/>
          <w:rFonts w:ascii="Times New Roman" w:hAnsi="Times New Roman"/>
          <w:sz w:val="24"/>
        </w:rPr>
        <w:footnoteReference w:id="10"/>
      </w:r>
      <w:r w:rsidR="00C66C98" w:rsidRPr="000B1A98">
        <w:rPr>
          <w:rFonts w:ascii="Times New Roman" w:hAnsi="Times New Roman"/>
          <w:sz w:val="24"/>
        </w:rPr>
        <w:t>. These principles require the development as a whole</w:t>
      </w:r>
      <w:r w:rsidR="00585657" w:rsidRPr="000B1A98">
        <w:rPr>
          <w:rFonts w:ascii="Times New Roman" w:hAnsi="Times New Roman"/>
          <w:sz w:val="24"/>
        </w:rPr>
        <w:t xml:space="preserve"> to have a character that reflects the landscape setting of the site, and the opportunity it presents for a </w:t>
      </w:r>
      <w:r w:rsidR="00764FB9" w:rsidRPr="000B1A98">
        <w:rPr>
          <w:rFonts w:ascii="Times New Roman" w:hAnsi="Times New Roman"/>
          <w:sz w:val="24"/>
        </w:rPr>
        <w:t xml:space="preserve">development of high landscape quality. </w:t>
      </w:r>
    </w:p>
    <w:p w14:paraId="554B6476" w14:textId="4817A821" w:rsidR="00764FB9" w:rsidRPr="000B1A98" w:rsidRDefault="00764FB9" w:rsidP="00764FB9">
      <w:pPr>
        <w:pStyle w:val="ListParagraph"/>
        <w:spacing w:line="360" w:lineRule="auto"/>
        <w:jc w:val="both"/>
        <w:rPr>
          <w:rFonts w:ascii="Times New Roman" w:hAnsi="Times New Roman"/>
          <w:sz w:val="24"/>
        </w:rPr>
      </w:pPr>
    </w:p>
    <w:p w14:paraId="23FD36C0" w14:textId="6178FE2C" w:rsidR="00764FB9" w:rsidRPr="000B1A98" w:rsidRDefault="00764FB9" w:rsidP="008035A5">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The development proposals fail to</w:t>
      </w:r>
      <w:r w:rsidR="001B1BA8" w:rsidRPr="000B1A98">
        <w:rPr>
          <w:rFonts w:ascii="Times New Roman" w:hAnsi="Times New Roman"/>
          <w:sz w:val="24"/>
        </w:rPr>
        <w:t xml:space="preserve"> meet these design standards set out in national and local policy. The shortcomings are explained by M</w:t>
      </w:r>
      <w:r w:rsidR="00C82778" w:rsidRPr="000B1A98">
        <w:rPr>
          <w:rFonts w:ascii="Times New Roman" w:hAnsi="Times New Roman"/>
          <w:sz w:val="24"/>
        </w:rPr>
        <w:t>r</w:t>
      </w:r>
      <w:r w:rsidR="001B1BA8" w:rsidRPr="000B1A98">
        <w:rPr>
          <w:rFonts w:ascii="Times New Roman" w:hAnsi="Times New Roman"/>
          <w:sz w:val="24"/>
        </w:rPr>
        <w:t xml:space="preserve">s Hull. </w:t>
      </w:r>
      <w:r w:rsidR="005808B1" w:rsidRPr="000B1A98">
        <w:rPr>
          <w:rFonts w:ascii="Times New Roman" w:hAnsi="Times New Roman"/>
          <w:sz w:val="24"/>
        </w:rPr>
        <w:t>The</w:t>
      </w:r>
      <w:r w:rsidR="003B1D03" w:rsidRPr="000B1A98">
        <w:rPr>
          <w:rFonts w:ascii="Times New Roman" w:hAnsi="Times New Roman"/>
          <w:sz w:val="24"/>
        </w:rPr>
        <w:t xml:space="preserve"> proposals remove almost all the successional woodland that has established on the site including at the periphery</w:t>
      </w:r>
      <w:r w:rsidR="00746744" w:rsidRPr="000B1A98">
        <w:rPr>
          <w:rFonts w:ascii="Times New Roman" w:hAnsi="Times New Roman"/>
          <w:sz w:val="24"/>
        </w:rPr>
        <w:t xml:space="preserve">, </w:t>
      </w:r>
      <w:r w:rsidR="00A947A2" w:rsidRPr="000B1A98">
        <w:rPr>
          <w:rFonts w:ascii="Times New Roman" w:hAnsi="Times New Roman"/>
          <w:sz w:val="24"/>
        </w:rPr>
        <w:t xml:space="preserve">and hedgerows, </w:t>
      </w:r>
      <w:r w:rsidR="00746744" w:rsidRPr="000B1A98">
        <w:rPr>
          <w:rFonts w:ascii="Times New Roman" w:hAnsi="Times New Roman"/>
          <w:sz w:val="24"/>
        </w:rPr>
        <w:t xml:space="preserve">and fail to feature the landscape setting significantly in the character of the development. To the north, the </w:t>
      </w:r>
      <w:r w:rsidR="00B31D4A" w:rsidRPr="000B1A98">
        <w:rPr>
          <w:rFonts w:ascii="Times New Roman" w:hAnsi="Times New Roman"/>
          <w:sz w:val="24"/>
        </w:rPr>
        <w:t xml:space="preserve">woodland is removed, and replaced with a linear area of </w:t>
      </w:r>
      <w:r w:rsidR="00064F71" w:rsidRPr="000B1A98">
        <w:rPr>
          <w:rFonts w:ascii="Times New Roman" w:hAnsi="Times New Roman"/>
          <w:sz w:val="24"/>
        </w:rPr>
        <w:t>landscaping</w:t>
      </w:r>
      <w:r w:rsidR="00B31D4A" w:rsidRPr="000B1A98">
        <w:rPr>
          <w:rFonts w:ascii="Times New Roman" w:hAnsi="Times New Roman"/>
          <w:sz w:val="24"/>
        </w:rPr>
        <w:t xml:space="preserve"> in the buffer zone to the ancient woodland which reduces the screening and effect of that </w:t>
      </w:r>
      <w:r w:rsidR="003724BA" w:rsidRPr="000B1A98">
        <w:rPr>
          <w:rFonts w:ascii="Times New Roman" w:hAnsi="Times New Roman"/>
          <w:sz w:val="24"/>
        </w:rPr>
        <w:t xml:space="preserve">woodland as a feature. The development presses hard </w:t>
      </w:r>
      <w:r w:rsidR="003724BA" w:rsidRPr="000B1A98">
        <w:rPr>
          <w:rFonts w:ascii="Times New Roman" w:hAnsi="Times New Roman"/>
          <w:sz w:val="24"/>
        </w:rPr>
        <w:lastRenderedPageBreak/>
        <w:t>against the 15m buffer. The green character and quality is not inc</w:t>
      </w:r>
      <w:r w:rsidR="001138AD" w:rsidRPr="000B1A98">
        <w:rPr>
          <w:rFonts w:ascii="Times New Roman" w:hAnsi="Times New Roman"/>
          <w:sz w:val="24"/>
        </w:rPr>
        <w:t>or</w:t>
      </w:r>
      <w:r w:rsidR="003724BA" w:rsidRPr="000B1A98">
        <w:rPr>
          <w:rFonts w:ascii="Times New Roman" w:hAnsi="Times New Roman"/>
          <w:sz w:val="24"/>
        </w:rPr>
        <w:t xml:space="preserve">porated within the development itself, but rather pushed to its edge. </w:t>
      </w:r>
      <w:r w:rsidR="001138AD" w:rsidRPr="000B1A98">
        <w:rPr>
          <w:rFonts w:ascii="Times New Roman" w:hAnsi="Times New Roman"/>
          <w:sz w:val="24"/>
        </w:rPr>
        <w:t>Mr Walshaw’s “green necklace” is a mistake</w:t>
      </w:r>
      <w:r w:rsidR="00271224">
        <w:rPr>
          <w:rStyle w:val="FootnoteReference"/>
          <w:rFonts w:ascii="Times New Roman" w:hAnsi="Times New Roman"/>
          <w:sz w:val="24"/>
        </w:rPr>
        <w:footnoteReference w:id="11"/>
      </w:r>
      <w:r w:rsidR="001138AD" w:rsidRPr="000B1A98">
        <w:rPr>
          <w:rFonts w:ascii="Times New Roman" w:hAnsi="Times New Roman"/>
          <w:sz w:val="24"/>
        </w:rPr>
        <w:t>. It is a repeat of mistakes made earlier and elsewhere, which the Brief moves away from.</w:t>
      </w:r>
    </w:p>
    <w:p w14:paraId="3F31F56E" w14:textId="77777777" w:rsidR="001138AD" w:rsidRPr="000B1A98" w:rsidRDefault="001138AD" w:rsidP="001138AD">
      <w:pPr>
        <w:pStyle w:val="ListParagraph"/>
        <w:rPr>
          <w:rFonts w:ascii="Times New Roman" w:hAnsi="Times New Roman"/>
          <w:sz w:val="24"/>
        </w:rPr>
      </w:pPr>
    </w:p>
    <w:p w14:paraId="06211BBE" w14:textId="4AE3332F" w:rsidR="001138AD" w:rsidRPr="000B1A98" w:rsidRDefault="001138AD" w:rsidP="008035A5">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To the west</w:t>
      </w:r>
      <w:r w:rsidR="00A6591A" w:rsidRPr="000B1A98">
        <w:rPr>
          <w:rFonts w:ascii="Times New Roman" w:hAnsi="Times New Roman"/>
          <w:sz w:val="24"/>
        </w:rPr>
        <w:t xml:space="preserve"> and the south-west the development turns its back on the off-site landscape features, and provides scant, where any,  on-site peripheral landscaping. </w:t>
      </w:r>
      <w:r w:rsidR="00D71B7D" w:rsidRPr="000B1A98">
        <w:rPr>
          <w:rFonts w:ascii="Times New Roman" w:hAnsi="Times New Roman"/>
          <w:sz w:val="24"/>
        </w:rPr>
        <w:t xml:space="preserve">Instead, the existing woodland is presented with a retaining wall and close-boarded fence. Again, repeating mistakes made elsewhere which Mr Walshaw deprecates. </w:t>
      </w:r>
      <w:r w:rsidR="00A947A2" w:rsidRPr="000B1A98">
        <w:rPr>
          <w:rFonts w:ascii="Times New Roman" w:hAnsi="Times New Roman"/>
          <w:sz w:val="24"/>
        </w:rPr>
        <w:t>Within the development, the design choices do not promote local distinctiveness, or reflect the landscape setting and potential of the site</w:t>
      </w:r>
      <w:r w:rsidR="00923100" w:rsidRPr="000B1A98">
        <w:rPr>
          <w:rFonts w:ascii="Times New Roman" w:hAnsi="Times New Roman"/>
          <w:sz w:val="24"/>
        </w:rPr>
        <w:t>, preferring instead an “anywhere”</w:t>
      </w:r>
      <w:r w:rsidR="000916F1">
        <w:rPr>
          <w:rStyle w:val="FootnoteReference"/>
          <w:rFonts w:ascii="Times New Roman" w:hAnsi="Times New Roman"/>
          <w:sz w:val="24"/>
        </w:rPr>
        <w:footnoteReference w:id="12"/>
      </w:r>
      <w:r w:rsidR="00923100" w:rsidRPr="000B1A98">
        <w:rPr>
          <w:rFonts w:ascii="Times New Roman" w:hAnsi="Times New Roman"/>
          <w:sz w:val="24"/>
        </w:rPr>
        <w:t xml:space="preserve"> estate containing (for the market housing only) </w:t>
      </w:r>
      <w:r w:rsidR="006C6C5F" w:rsidRPr="000B1A98">
        <w:rPr>
          <w:rFonts w:ascii="Times New Roman" w:hAnsi="Times New Roman"/>
          <w:sz w:val="24"/>
        </w:rPr>
        <w:t>large, detached</w:t>
      </w:r>
      <w:r w:rsidR="00923100" w:rsidRPr="000B1A98">
        <w:rPr>
          <w:rFonts w:ascii="Times New Roman" w:hAnsi="Times New Roman"/>
          <w:sz w:val="24"/>
        </w:rPr>
        <w:t xml:space="preserve"> units in large plots with little </w:t>
      </w:r>
      <w:r w:rsidR="00663825" w:rsidRPr="000B1A98">
        <w:rPr>
          <w:rFonts w:ascii="Times New Roman" w:hAnsi="Times New Roman"/>
          <w:sz w:val="24"/>
        </w:rPr>
        <w:t xml:space="preserve">landscaped open space. </w:t>
      </w:r>
    </w:p>
    <w:p w14:paraId="1C31175E" w14:textId="77777777" w:rsidR="00663825" w:rsidRPr="000B1A98" w:rsidRDefault="00663825" w:rsidP="00663825">
      <w:pPr>
        <w:pStyle w:val="ListParagraph"/>
        <w:rPr>
          <w:rFonts w:ascii="Times New Roman" w:hAnsi="Times New Roman"/>
          <w:sz w:val="24"/>
        </w:rPr>
      </w:pPr>
    </w:p>
    <w:p w14:paraId="55904EEF" w14:textId="49EE536B" w:rsidR="00663825" w:rsidRPr="000B1A98" w:rsidRDefault="00557E8C" w:rsidP="00663825">
      <w:pPr>
        <w:spacing w:line="360" w:lineRule="auto"/>
        <w:jc w:val="both"/>
        <w:rPr>
          <w:rFonts w:ascii="Times New Roman" w:hAnsi="Times New Roman"/>
          <w:b/>
          <w:bCs/>
          <w:sz w:val="24"/>
        </w:rPr>
      </w:pPr>
      <w:r w:rsidRPr="000B1A98">
        <w:rPr>
          <w:rFonts w:ascii="Times New Roman" w:hAnsi="Times New Roman"/>
          <w:b/>
          <w:bCs/>
          <w:sz w:val="24"/>
        </w:rPr>
        <w:t>D: Efficient Use of Land</w:t>
      </w:r>
    </w:p>
    <w:p w14:paraId="570300DE" w14:textId="7FE370B6" w:rsidR="00557E8C" w:rsidRPr="000B1A98" w:rsidRDefault="00557E8C" w:rsidP="00557E8C">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It has long been a central tenet of national policy</w:t>
      </w:r>
      <w:r w:rsidR="00946FB9" w:rsidRPr="000B1A98">
        <w:rPr>
          <w:rFonts w:ascii="Times New Roman" w:hAnsi="Times New Roman"/>
          <w:sz w:val="24"/>
        </w:rPr>
        <w:t xml:space="preserve">, a corollary of the objectives of boosting housing and promoting good design, that </w:t>
      </w:r>
      <w:r w:rsidR="005632D7" w:rsidRPr="000B1A98">
        <w:rPr>
          <w:rFonts w:ascii="Times New Roman" w:hAnsi="Times New Roman"/>
          <w:sz w:val="24"/>
        </w:rPr>
        <w:t>development must make an</w:t>
      </w:r>
      <w:r w:rsidR="00B971E7" w:rsidRPr="000B1A98">
        <w:rPr>
          <w:rFonts w:ascii="Times New Roman" w:hAnsi="Times New Roman"/>
          <w:sz w:val="24"/>
        </w:rPr>
        <w:t xml:space="preserve"> effective and efficient  use of land</w:t>
      </w:r>
      <w:r w:rsidR="00B971E7" w:rsidRPr="000B1A98">
        <w:rPr>
          <w:rStyle w:val="FootnoteReference"/>
          <w:rFonts w:ascii="Times New Roman" w:hAnsi="Times New Roman"/>
          <w:sz w:val="24"/>
        </w:rPr>
        <w:footnoteReference w:id="13"/>
      </w:r>
      <w:r w:rsidR="00B971E7" w:rsidRPr="000B1A98">
        <w:rPr>
          <w:rFonts w:ascii="Times New Roman" w:hAnsi="Times New Roman"/>
          <w:sz w:val="24"/>
        </w:rPr>
        <w:t xml:space="preserve">. </w:t>
      </w:r>
      <w:r w:rsidR="006C5D24" w:rsidRPr="000B1A98">
        <w:rPr>
          <w:rFonts w:ascii="Times New Roman" w:hAnsi="Times New Roman"/>
          <w:sz w:val="24"/>
        </w:rPr>
        <w:t xml:space="preserve">This sits alongside the policy requirements to improve the environment. Paragraph </w:t>
      </w:r>
      <w:r w:rsidR="00A51015" w:rsidRPr="000B1A98">
        <w:rPr>
          <w:rFonts w:ascii="Times New Roman" w:hAnsi="Times New Roman"/>
          <w:sz w:val="24"/>
        </w:rPr>
        <w:t>122 brings into this consideration the character o</w:t>
      </w:r>
      <w:r w:rsidR="00C51669">
        <w:rPr>
          <w:rFonts w:ascii="Times New Roman" w:hAnsi="Times New Roman"/>
          <w:sz w:val="24"/>
        </w:rPr>
        <w:t>f</w:t>
      </w:r>
      <w:r w:rsidR="00A51015" w:rsidRPr="000B1A98">
        <w:rPr>
          <w:rFonts w:ascii="Times New Roman" w:hAnsi="Times New Roman"/>
          <w:sz w:val="24"/>
        </w:rPr>
        <w:t xml:space="preserve"> the area and the importance of securing well-designed places. </w:t>
      </w:r>
    </w:p>
    <w:p w14:paraId="402F87AD" w14:textId="7DDC8623" w:rsidR="00EA57B7" w:rsidRPr="000B1A98" w:rsidRDefault="00EA57B7" w:rsidP="00EA57B7">
      <w:pPr>
        <w:pStyle w:val="ListParagraph"/>
        <w:spacing w:line="360" w:lineRule="auto"/>
        <w:jc w:val="both"/>
        <w:rPr>
          <w:rFonts w:ascii="Times New Roman" w:hAnsi="Times New Roman"/>
          <w:sz w:val="24"/>
        </w:rPr>
      </w:pPr>
    </w:p>
    <w:p w14:paraId="40002F40" w14:textId="3E4842AD" w:rsidR="00EA57B7" w:rsidRPr="000B1A98" w:rsidRDefault="00EA57B7" w:rsidP="00557E8C">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The appellant suggests that the Council’s position is somehow inconsistent in seeking a greater role for green infrastructure within the development while also seeking a more efficient use of land. This</w:t>
      </w:r>
      <w:r w:rsidR="00A94095">
        <w:rPr>
          <w:rFonts w:ascii="Times New Roman" w:hAnsi="Times New Roman"/>
          <w:sz w:val="24"/>
        </w:rPr>
        <w:t xml:space="preserve"> allegation</w:t>
      </w:r>
      <w:r w:rsidR="00B935BF" w:rsidRPr="000B1A98">
        <w:rPr>
          <w:rFonts w:ascii="Times New Roman" w:hAnsi="Times New Roman"/>
          <w:sz w:val="24"/>
        </w:rPr>
        <w:t xml:space="preserve"> illustrates the </w:t>
      </w:r>
      <w:r w:rsidR="001E7D8B" w:rsidRPr="000B1A98">
        <w:rPr>
          <w:rFonts w:ascii="Times New Roman" w:hAnsi="Times New Roman"/>
          <w:sz w:val="24"/>
        </w:rPr>
        <w:t>shortcomings of the design choices</w:t>
      </w:r>
      <w:r w:rsidR="00457961">
        <w:rPr>
          <w:rFonts w:ascii="Times New Roman" w:hAnsi="Times New Roman"/>
          <w:sz w:val="24"/>
        </w:rPr>
        <w:t xml:space="preserve"> made by the appellant</w:t>
      </w:r>
      <w:r w:rsidR="001E7D8B" w:rsidRPr="000B1A98">
        <w:rPr>
          <w:rFonts w:ascii="Times New Roman" w:hAnsi="Times New Roman"/>
          <w:sz w:val="24"/>
        </w:rPr>
        <w:t>. More efficient use of land does not mean bigger</w:t>
      </w:r>
      <w:r w:rsidR="00557503" w:rsidRPr="000B1A98">
        <w:rPr>
          <w:rFonts w:ascii="Times New Roman" w:hAnsi="Times New Roman"/>
          <w:sz w:val="24"/>
        </w:rPr>
        <w:t xml:space="preserve"> units or a larger area covered by housing or roadways. </w:t>
      </w:r>
      <w:r w:rsidR="00202FA4" w:rsidRPr="000B1A98">
        <w:rPr>
          <w:rFonts w:ascii="Times New Roman" w:hAnsi="Times New Roman"/>
          <w:sz w:val="24"/>
        </w:rPr>
        <w:t xml:space="preserve">The promotion of </w:t>
      </w:r>
      <w:r w:rsidR="002424CB">
        <w:rPr>
          <w:rFonts w:ascii="Times New Roman" w:hAnsi="Times New Roman"/>
          <w:sz w:val="24"/>
        </w:rPr>
        <w:t>a range of</w:t>
      </w:r>
      <w:r w:rsidR="00202FA4" w:rsidRPr="000B1A98">
        <w:rPr>
          <w:rFonts w:ascii="Times New Roman" w:hAnsi="Times New Roman"/>
          <w:sz w:val="24"/>
        </w:rPr>
        <w:t xml:space="preserve"> units in a more efficient layout enables greater use of green infrastructure and a better balance</w:t>
      </w:r>
      <w:r w:rsidR="00EF23F0" w:rsidRPr="000B1A98">
        <w:rPr>
          <w:rFonts w:ascii="Times New Roman" w:hAnsi="Times New Roman"/>
          <w:sz w:val="24"/>
        </w:rPr>
        <w:t xml:space="preserve"> between built and unbuilt development.</w:t>
      </w:r>
      <w:r w:rsidR="00A81759" w:rsidRPr="000B1A98">
        <w:rPr>
          <w:rFonts w:ascii="Times New Roman" w:hAnsi="Times New Roman"/>
          <w:sz w:val="24"/>
        </w:rPr>
        <w:t xml:space="preserve"> This would not prevent the delivery of a mix of housing types including family units. </w:t>
      </w:r>
      <w:r w:rsidR="00EF23F0" w:rsidRPr="000B1A98">
        <w:rPr>
          <w:rFonts w:ascii="Times New Roman" w:hAnsi="Times New Roman"/>
          <w:sz w:val="24"/>
        </w:rPr>
        <w:t xml:space="preserve"> Here the appellant has no difficulty in promoting relatively high density development for the affordable units, but chooses very low density for the market housing across large parts of the site. This is not justified by the site conditions, or the character of the area. This is a standalone allocation across three greenfield </w:t>
      </w:r>
      <w:r w:rsidR="006C6C5F" w:rsidRPr="000B1A98">
        <w:rPr>
          <w:rFonts w:ascii="Times New Roman" w:hAnsi="Times New Roman"/>
          <w:sz w:val="24"/>
        </w:rPr>
        <w:t>sites</w:t>
      </w:r>
      <w:r w:rsidR="00EF23F0" w:rsidRPr="000B1A98">
        <w:rPr>
          <w:rFonts w:ascii="Times New Roman" w:hAnsi="Times New Roman"/>
          <w:sz w:val="24"/>
        </w:rPr>
        <w:t xml:space="preserve">, guided by specific principles in </w:t>
      </w:r>
      <w:r w:rsidR="00EF23F0" w:rsidRPr="000B1A98">
        <w:rPr>
          <w:rFonts w:ascii="Times New Roman" w:hAnsi="Times New Roman"/>
          <w:sz w:val="24"/>
        </w:rPr>
        <w:lastRenderedPageBreak/>
        <w:t xml:space="preserve">the Brief which </w:t>
      </w:r>
      <w:r w:rsidR="001F6F2B" w:rsidRPr="000B1A98">
        <w:rPr>
          <w:rFonts w:ascii="Times New Roman" w:hAnsi="Times New Roman"/>
          <w:sz w:val="24"/>
        </w:rPr>
        <w:t xml:space="preserve">promote development of a particular character. Properly calculated the density </w:t>
      </w:r>
      <w:r w:rsidR="00064F71" w:rsidRPr="000B1A98">
        <w:rPr>
          <w:rFonts w:ascii="Times New Roman" w:hAnsi="Times New Roman"/>
          <w:sz w:val="24"/>
        </w:rPr>
        <w:t>across</w:t>
      </w:r>
      <w:r w:rsidR="001F6F2B" w:rsidRPr="000B1A98">
        <w:rPr>
          <w:rFonts w:ascii="Times New Roman" w:hAnsi="Times New Roman"/>
          <w:sz w:val="24"/>
        </w:rPr>
        <w:t xml:space="preserve"> the site is 28dph. The development plan seeks for an area as accessible as this one development in the region of 40-60 dph</w:t>
      </w:r>
      <w:r w:rsidR="001F6F2B" w:rsidRPr="000B1A98">
        <w:rPr>
          <w:rStyle w:val="FootnoteReference"/>
          <w:rFonts w:ascii="Times New Roman" w:hAnsi="Times New Roman"/>
          <w:sz w:val="24"/>
        </w:rPr>
        <w:footnoteReference w:id="14"/>
      </w:r>
      <w:r w:rsidR="001F6F2B" w:rsidRPr="000B1A98">
        <w:rPr>
          <w:rFonts w:ascii="Times New Roman" w:hAnsi="Times New Roman"/>
          <w:sz w:val="24"/>
        </w:rPr>
        <w:t xml:space="preserve"> unless specific justification is made out. This</w:t>
      </w:r>
      <w:r w:rsidR="007A0B87">
        <w:rPr>
          <w:rFonts w:ascii="Times New Roman" w:hAnsi="Times New Roman"/>
          <w:sz w:val="24"/>
        </w:rPr>
        <w:t xml:space="preserve"> particular</w:t>
      </w:r>
      <w:r w:rsidR="001F6F2B" w:rsidRPr="000B1A98">
        <w:rPr>
          <w:rFonts w:ascii="Times New Roman" w:hAnsi="Times New Roman"/>
          <w:sz w:val="24"/>
        </w:rPr>
        <w:t xml:space="preserve"> scheme </w:t>
      </w:r>
      <w:r w:rsidR="007A0B87">
        <w:rPr>
          <w:rFonts w:ascii="Times New Roman" w:hAnsi="Times New Roman"/>
          <w:sz w:val="24"/>
        </w:rPr>
        <w:t>is not justified</w:t>
      </w:r>
      <w:r w:rsidR="001F6F2B" w:rsidRPr="000B1A98">
        <w:rPr>
          <w:rFonts w:ascii="Times New Roman" w:hAnsi="Times New Roman"/>
          <w:sz w:val="24"/>
        </w:rPr>
        <w:t xml:space="preserve">. </w:t>
      </w:r>
    </w:p>
    <w:p w14:paraId="696C89BD" w14:textId="23803434" w:rsidR="001F6F2B" w:rsidRPr="000B1A98" w:rsidRDefault="001F6F2B" w:rsidP="001F6F2B">
      <w:pPr>
        <w:spacing w:line="360" w:lineRule="auto"/>
        <w:ind w:left="360"/>
        <w:jc w:val="both"/>
        <w:rPr>
          <w:rFonts w:ascii="Times New Roman" w:hAnsi="Times New Roman"/>
          <w:sz w:val="24"/>
        </w:rPr>
      </w:pPr>
    </w:p>
    <w:p w14:paraId="085F775A" w14:textId="3BD8D839" w:rsidR="00F958FD" w:rsidRPr="000B1A98" w:rsidRDefault="00F958FD" w:rsidP="001F6F2B">
      <w:pPr>
        <w:spacing w:line="360" w:lineRule="auto"/>
        <w:ind w:left="360"/>
        <w:jc w:val="both"/>
        <w:rPr>
          <w:rFonts w:ascii="Times New Roman" w:hAnsi="Times New Roman"/>
          <w:sz w:val="24"/>
        </w:rPr>
      </w:pPr>
      <w:r w:rsidRPr="000B1A98">
        <w:rPr>
          <w:rFonts w:ascii="Times New Roman" w:hAnsi="Times New Roman"/>
          <w:b/>
          <w:bCs/>
          <w:sz w:val="24"/>
        </w:rPr>
        <w:t>E: Integration of Affordable Housing</w:t>
      </w:r>
    </w:p>
    <w:p w14:paraId="0A4B14A9" w14:textId="3BA6C1C1" w:rsidR="00C82778" w:rsidRDefault="00A81759" w:rsidP="00C82778">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The Council’s</w:t>
      </w:r>
      <w:r w:rsidR="008E54D5" w:rsidRPr="000B1A98">
        <w:rPr>
          <w:rFonts w:ascii="Times New Roman" w:hAnsi="Times New Roman"/>
          <w:sz w:val="24"/>
        </w:rPr>
        <w:t xml:space="preserve"> SPD on affordable housing</w:t>
      </w:r>
      <w:r w:rsidR="00B304B6" w:rsidRPr="000B1A98">
        <w:rPr>
          <w:rFonts w:ascii="Times New Roman" w:hAnsi="Times New Roman"/>
          <w:sz w:val="24"/>
        </w:rPr>
        <w:t xml:space="preserve"> (CD 5.16) </w:t>
      </w:r>
      <w:r w:rsidR="00890C03" w:rsidRPr="000B1A98">
        <w:rPr>
          <w:rFonts w:ascii="Times New Roman" w:hAnsi="Times New Roman"/>
          <w:sz w:val="24"/>
        </w:rPr>
        <w:t xml:space="preserve">insists that </w:t>
      </w:r>
      <w:r w:rsidR="005365BE" w:rsidRPr="000B1A98">
        <w:rPr>
          <w:rFonts w:ascii="Times New Roman" w:hAnsi="Times New Roman"/>
          <w:sz w:val="24"/>
        </w:rPr>
        <w:t>affordable</w:t>
      </w:r>
      <w:r w:rsidR="00890C03" w:rsidRPr="000B1A98">
        <w:rPr>
          <w:rFonts w:ascii="Times New Roman" w:hAnsi="Times New Roman"/>
          <w:sz w:val="24"/>
        </w:rPr>
        <w:t xml:space="preserve"> housing should not be differentiated by design, quality, specification</w:t>
      </w:r>
      <w:r w:rsidR="005365BE" w:rsidRPr="000B1A98">
        <w:rPr>
          <w:rFonts w:ascii="Times New Roman" w:hAnsi="Times New Roman"/>
          <w:sz w:val="24"/>
        </w:rPr>
        <w:t>, or by location within the site (policy</w:t>
      </w:r>
      <w:r w:rsidR="00C82778" w:rsidRPr="000B1A98">
        <w:rPr>
          <w:rFonts w:ascii="Times New Roman" w:hAnsi="Times New Roman"/>
          <w:sz w:val="24"/>
        </w:rPr>
        <w:t xml:space="preserve"> GAH5).</w:t>
      </w:r>
    </w:p>
    <w:p w14:paraId="0763D3AC" w14:textId="77777777" w:rsidR="001D2570" w:rsidRPr="001D2570" w:rsidRDefault="001D2570" w:rsidP="001D2570">
      <w:pPr>
        <w:pStyle w:val="ListParagraph"/>
        <w:spacing w:line="360" w:lineRule="auto"/>
        <w:jc w:val="both"/>
        <w:rPr>
          <w:rFonts w:ascii="Times New Roman" w:hAnsi="Times New Roman"/>
          <w:sz w:val="24"/>
        </w:rPr>
      </w:pPr>
    </w:p>
    <w:p w14:paraId="19773E9E" w14:textId="38E26089" w:rsidR="00C82778" w:rsidRPr="000B1A98" w:rsidRDefault="00C82778" w:rsidP="00C82778">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Mrs Hull explains the failure in the appeal proposals to avoid such differentiation. The affordable housing is predominantly provided in terraces – the only terraces in a development of </w:t>
      </w:r>
      <w:r w:rsidR="00B80B9A" w:rsidRPr="000B1A98">
        <w:rPr>
          <w:rFonts w:ascii="Times New Roman" w:hAnsi="Times New Roman"/>
          <w:sz w:val="24"/>
        </w:rPr>
        <w:t xml:space="preserve">overwhelmingly detached market units. The units are largely </w:t>
      </w:r>
      <w:r w:rsidR="003F26C2" w:rsidRPr="000B1A98">
        <w:rPr>
          <w:rFonts w:ascii="Times New Roman" w:hAnsi="Times New Roman"/>
          <w:sz w:val="24"/>
        </w:rPr>
        <w:t>d</w:t>
      </w:r>
      <w:r w:rsidR="00B80B9A" w:rsidRPr="000B1A98">
        <w:rPr>
          <w:rFonts w:ascii="Times New Roman" w:hAnsi="Times New Roman"/>
          <w:sz w:val="24"/>
        </w:rPr>
        <w:t>isposed around a parking court – the only parking court in the development</w:t>
      </w:r>
      <w:r w:rsidR="003F26C2" w:rsidRPr="000B1A98">
        <w:rPr>
          <w:rFonts w:ascii="Times New Roman" w:hAnsi="Times New Roman"/>
          <w:sz w:val="24"/>
        </w:rPr>
        <w:t>, and are developed at a density which is not reflective of the balance of market units across the site</w:t>
      </w:r>
      <w:r w:rsidR="001D2570">
        <w:rPr>
          <w:rFonts w:ascii="Times New Roman" w:hAnsi="Times New Roman"/>
          <w:sz w:val="24"/>
        </w:rPr>
        <w:t>, and which ensures that the affordable units have reduced amenity compared to the market units</w:t>
      </w:r>
      <w:r w:rsidR="003F26C2" w:rsidRPr="000B1A98">
        <w:rPr>
          <w:rFonts w:ascii="Times New Roman" w:hAnsi="Times New Roman"/>
          <w:sz w:val="24"/>
        </w:rPr>
        <w:t xml:space="preserve">. </w:t>
      </w:r>
      <w:r w:rsidR="00EB5242" w:rsidRPr="000B1A98">
        <w:rPr>
          <w:rFonts w:ascii="Times New Roman" w:hAnsi="Times New Roman"/>
          <w:sz w:val="24"/>
        </w:rPr>
        <w:t>Whether or not affordable housing providers would take the units on if built is irrelevant to the planning merits.</w:t>
      </w:r>
    </w:p>
    <w:p w14:paraId="5540CF2E" w14:textId="489E85D6" w:rsidR="00EB5242" w:rsidRPr="000B1A98" w:rsidRDefault="00EB5242" w:rsidP="00EB5242">
      <w:pPr>
        <w:spacing w:line="360" w:lineRule="auto"/>
        <w:jc w:val="both"/>
        <w:rPr>
          <w:rFonts w:ascii="Times New Roman" w:hAnsi="Times New Roman"/>
          <w:sz w:val="24"/>
          <w:u w:val="single"/>
        </w:rPr>
      </w:pPr>
    </w:p>
    <w:p w14:paraId="048148E0" w14:textId="6D090F96" w:rsidR="00EB5242" w:rsidRPr="000B1A98" w:rsidRDefault="00C51C6F" w:rsidP="00EB5242">
      <w:pPr>
        <w:spacing w:line="360" w:lineRule="auto"/>
        <w:jc w:val="both"/>
        <w:rPr>
          <w:rFonts w:ascii="Times New Roman" w:hAnsi="Times New Roman"/>
          <w:sz w:val="24"/>
        </w:rPr>
      </w:pPr>
      <w:r w:rsidRPr="000B1A98">
        <w:rPr>
          <w:rFonts w:ascii="Times New Roman" w:hAnsi="Times New Roman"/>
          <w:b/>
          <w:bCs/>
          <w:sz w:val="24"/>
        </w:rPr>
        <w:t>A: Comprehensive Development</w:t>
      </w:r>
    </w:p>
    <w:p w14:paraId="76EB7170" w14:textId="77777777" w:rsidR="00BF59B5" w:rsidRPr="000B1A98" w:rsidRDefault="009F0175" w:rsidP="00C51C6F">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As referred to earlier, one of the objectives of the </w:t>
      </w:r>
      <w:r w:rsidR="00950E4E" w:rsidRPr="000B1A98">
        <w:rPr>
          <w:rFonts w:ascii="Times New Roman" w:hAnsi="Times New Roman"/>
          <w:sz w:val="24"/>
        </w:rPr>
        <w:t>Brief</w:t>
      </w:r>
      <w:r w:rsidR="00421C64" w:rsidRPr="000B1A98">
        <w:rPr>
          <w:rFonts w:ascii="Times New Roman" w:hAnsi="Times New Roman"/>
          <w:sz w:val="24"/>
        </w:rPr>
        <w:t xml:space="preserve"> is to enable a comprehensive approach across the three allocated Owlthorpe sites. </w:t>
      </w:r>
      <w:r w:rsidR="00193F90" w:rsidRPr="000B1A98">
        <w:rPr>
          <w:rFonts w:ascii="Times New Roman" w:hAnsi="Times New Roman"/>
          <w:sz w:val="24"/>
        </w:rPr>
        <w:t xml:space="preserve">This requires the sites to be considered as a whole. </w:t>
      </w:r>
    </w:p>
    <w:p w14:paraId="5D02AB4D" w14:textId="77777777" w:rsidR="00BF59B5" w:rsidRPr="000B1A98" w:rsidRDefault="00BF59B5" w:rsidP="00BF59B5">
      <w:pPr>
        <w:pStyle w:val="ListParagraph"/>
        <w:spacing w:line="360" w:lineRule="auto"/>
        <w:jc w:val="both"/>
        <w:rPr>
          <w:rFonts w:ascii="Times New Roman" w:hAnsi="Times New Roman"/>
          <w:sz w:val="24"/>
        </w:rPr>
      </w:pPr>
    </w:p>
    <w:p w14:paraId="0FA7CD7B" w14:textId="7A7453C4" w:rsidR="00C51C6F" w:rsidRPr="000B1A98" w:rsidRDefault="00985EB6" w:rsidP="00C51C6F">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It is through the production, consultation on and adoption of a development brief that such an approach can be taken in a way that </w:t>
      </w:r>
      <w:r w:rsidR="00BF59B5" w:rsidRPr="000B1A98">
        <w:rPr>
          <w:rFonts w:ascii="Times New Roman" w:hAnsi="Times New Roman"/>
          <w:sz w:val="24"/>
        </w:rPr>
        <w:t xml:space="preserve">enables individual planning applications to come forward. Central to the effectiveness of this mechanism is that each application that comes forward, and especially in the case of the first application to come forward, </w:t>
      </w:r>
      <w:r w:rsidR="006A2A65" w:rsidRPr="000B1A98">
        <w:rPr>
          <w:rFonts w:ascii="Times New Roman" w:hAnsi="Times New Roman"/>
          <w:sz w:val="24"/>
        </w:rPr>
        <w:t xml:space="preserve">complies with the principles established within and through the Brief. Otherwise, the </w:t>
      </w:r>
      <w:r w:rsidR="006A2A65" w:rsidRPr="000B1A98">
        <w:rPr>
          <w:rFonts w:ascii="Times New Roman" w:hAnsi="Times New Roman"/>
          <w:sz w:val="24"/>
        </w:rPr>
        <w:lastRenderedPageBreak/>
        <w:t xml:space="preserve">grant of permission will conflict with and practically re-write and re-define those principles. </w:t>
      </w:r>
    </w:p>
    <w:p w14:paraId="345FD653" w14:textId="77777777" w:rsidR="006A2A65" w:rsidRPr="000B1A98" w:rsidRDefault="006A2A65" w:rsidP="006A2A65">
      <w:pPr>
        <w:pStyle w:val="ListParagraph"/>
        <w:rPr>
          <w:rFonts w:ascii="Times New Roman" w:hAnsi="Times New Roman"/>
          <w:sz w:val="24"/>
        </w:rPr>
      </w:pPr>
    </w:p>
    <w:p w14:paraId="5BBE7372" w14:textId="3F8E7296" w:rsidR="006A2A65" w:rsidRPr="000B1A98" w:rsidRDefault="006A2A65" w:rsidP="00C51C6F">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In the Council’s view, that is the case </w:t>
      </w:r>
      <w:r w:rsidR="000254F0" w:rsidRPr="000B1A98">
        <w:rPr>
          <w:rFonts w:ascii="Times New Roman" w:hAnsi="Times New Roman"/>
          <w:sz w:val="24"/>
        </w:rPr>
        <w:t>in the event that the appeal proposals are permitted. The Brief provides careful guidance on the green infrastructure balance across the development of the sites</w:t>
      </w:r>
      <w:r w:rsidR="006F15FC" w:rsidRPr="000B1A98">
        <w:rPr>
          <w:rFonts w:ascii="Times New Roman" w:hAnsi="Times New Roman"/>
          <w:sz w:val="24"/>
        </w:rPr>
        <w:t xml:space="preserve">, and as to density, and the sensitive treatment of the edges and interfaces with landscape setting. It is not a case of </w:t>
      </w:r>
      <w:r w:rsidR="00F0071F" w:rsidRPr="000B1A98">
        <w:rPr>
          <w:rFonts w:ascii="Times New Roman" w:hAnsi="Times New Roman"/>
          <w:sz w:val="24"/>
        </w:rPr>
        <w:t xml:space="preserve">having to show that no one would develop sites C and D if the appeal scheme is permitted, but rather of recognising that the </w:t>
      </w:r>
      <w:r w:rsidR="008B1F5F" w:rsidRPr="000B1A98">
        <w:rPr>
          <w:rFonts w:ascii="Times New Roman" w:hAnsi="Times New Roman"/>
          <w:sz w:val="24"/>
        </w:rPr>
        <w:t xml:space="preserve">control of those developments which should be found in the Brief will be undermined, and so the proper and comprehensive planning of the sites as a whole, </w:t>
      </w:r>
      <w:r w:rsidR="00AC7BA2" w:rsidRPr="000B1A98">
        <w:rPr>
          <w:rFonts w:ascii="Times New Roman" w:hAnsi="Times New Roman"/>
          <w:sz w:val="24"/>
        </w:rPr>
        <w:t>comprehensive allocation is undermined. This, too, is explained in the evidence of Ms Hull.</w:t>
      </w:r>
    </w:p>
    <w:p w14:paraId="51075B7A" w14:textId="77777777" w:rsidR="00AC7BA2" w:rsidRPr="000B1A98" w:rsidRDefault="00AC7BA2" w:rsidP="00AC7BA2">
      <w:pPr>
        <w:pStyle w:val="ListParagraph"/>
        <w:rPr>
          <w:rFonts w:ascii="Times New Roman" w:hAnsi="Times New Roman"/>
          <w:sz w:val="24"/>
        </w:rPr>
      </w:pPr>
    </w:p>
    <w:p w14:paraId="56CEA7C7" w14:textId="0E67B1B1" w:rsidR="00AC7BA2" w:rsidRPr="000B1A98" w:rsidRDefault="00AC7BA2" w:rsidP="00AC7BA2">
      <w:pPr>
        <w:spacing w:line="360" w:lineRule="auto"/>
        <w:jc w:val="both"/>
        <w:rPr>
          <w:rFonts w:ascii="Times New Roman" w:hAnsi="Times New Roman"/>
          <w:sz w:val="24"/>
        </w:rPr>
      </w:pPr>
      <w:r w:rsidRPr="000B1A98">
        <w:rPr>
          <w:rFonts w:ascii="Times New Roman" w:hAnsi="Times New Roman"/>
          <w:b/>
          <w:bCs/>
          <w:sz w:val="24"/>
        </w:rPr>
        <w:t>Planning Balance</w:t>
      </w:r>
    </w:p>
    <w:p w14:paraId="1DD40BC7" w14:textId="68EE7063" w:rsidR="003C0DD5" w:rsidRDefault="00A14C85" w:rsidP="003C0DD5">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Planning </w:t>
      </w:r>
      <w:r w:rsidR="00F322A6" w:rsidRPr="000B1A98">
        <w:rPr>
          <w:rFonts w:ascii="Times New Roman" w:hAnsi="Times New Roman"/>
          <w:sz w:val="24"/>
        </w:rPr>
        <w:t>applications must be determined in accordance with the development plan unless material considerations indicate otherwise. The NPPF does not alter the statutory presumption.</w:t>
      </w:r>
      <w:r w:rsidR="00EA568E" w:rsidRPr="000B1A98">
        <w:rPr>
          <w:rFonts w:ascii="Times New Roman" w:hAnsi="Times New Roman"/>
          <w:sz w:val="24"/>
        </w:rPr>
        <w:t xml:space="preserve"> The Council concludes that the development does not accord with the plan as a result of each and all of the points raised in the reason for refusal</w:t>
      </w:r>
      <w:r w:rsidR="008B01AA">
        <w:rPr>
          <w:rFonts w:ascii="Times New Roman" w:hAnsi="Times New Roman"/>
          <w:sz w:val="24"/>
        </w:rPr>
        <w:t>.</w:t>
      </w:r>
    </w:p>
    <w:p w14:paraId="1E5A6FFE" w14:textId="77777777" w:rsidR="008B01AA" w:rsidRPr="003C0DD5" w:rsidRDefault="008B01AA" w:rsidP="008B01AA">
      <w:pPr>
        <w:pStyle w:val="ListParagraph"/>
        <w:spacing w:line="360" w:lineRule="auto"/>
        <w:jc w:val="both"/>
        <w:rPr>
          <w:rFonts w:ascii="Times New Roman" w:hAnsi="Times New Roman"/>
          <w:sz w:val="24"/>
        </w:rPr>
      </w:pPr>
    </w:p>
    <w:p w14:paraId="54D3977D" w14:textId="6F9ECB3C" w:rsidR="005076D2" w:rsidRPr="000B1A98" w:rsidRDefault="005076D2" w:rsidP="005076D2">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 xml:space="preserve">The Council is able to demonstrate a five year HLS, and the Appellant leads no evidence to the contrary. </w:t>
      </w:r>
    </w:p>
    <w:p w14:paraId="08E60AC9" w14:textId="77777777" w:rsidR="005076D2" w:rsidRPr="000B1A98" w:rsidRDefault="005076D2" w:rsidP="005076D2">
      <w:pPr>
        <w:pStyle w:val="ListParagraph"/>
        <w:rPr>
          <w:rFonts w:ascii="Times New Roman" w:hAnsi="Times New Roman"/>
          <w:sz w:val="24"/>
        </w:rPr>
      </w:pPr>
    </w:p>
    <w:p w14:paraId="39E7B3B5" w14:textId="5ADE9AD0" w:rsidR="005076D2" w:rsidRPr="000B1A98" w:rsidRDefault="005076D2" w:rsidP="005076D2">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In terms of the decision-making framework in paragraph</w:t>
      </w:r>
      <w:r w:rsidR="007E58AB">
        <w:rPr>
          <w:rFonts w:ascii="Times New Roman" w:hAnsi="Times New Roman"/>
          <w:sz w:val="24"/>
        </w:rPr>
        <w:t xml:space="preserve"> </w:t>
      </w:r>
      <w:r w:rsidRPr="000B1A98">
        <w:rPr>
          <w:rFonts w:ascii="Times New Roman" w:hAnsi="Times New Roman"/>
          <w:sz w:val="24"/>
        </w:rPr>
        <w:t>11 NPPF therefore</w:t>
      </w:r>
      <w:r w:rsidR="00DD3231" w:rsidRPr="000B1A98">
        <w:rPr>
          <w:rFonts w:ascii="Times New Roman" w:hAnsi="Times New Roman"/>
          <w:sz w:val="24"/>
        </w:rPr>
        <w:t xml:space="preserve">: if the Inspector concludes (contrary to our case) that the proposals accord with the development plan then of course he should grant permission. If he concludes </w:t>
      </w:r>
      <w:r w:rsidR="008B01AA">
        <w:rPr>
          <w:rFonts w:ascii="Times New Roman" w:hAnsi="Times New Roman"/>
          <w:sz w:val="24"/>
        </w:rPr>
        <w:t>that the development does not accord with the development plan read as a whole</w:t>
      </w:r>
      <w:r w:rsidR="00DD3231" w:rsidRPr="000B1A98">
        <w:rPr>
          <w:rFonts w:ascii="Times New Roman" w:hAnsi="Times New Roman"/>
          <w:sz w:val="24"/>
        </w:rPr>
        <w:t xml:space="preserve"> then there is a </w:t>
      </w:r>
      <w:r w:rsidR="008B01AA">
        <w:rPr>
          <w:rFonts w:ascii="Times New Roman" w:hAnsi="Times New Roman"/>
          <w:sz w:val="24"/>
        </w:rPr>
        <w:t xml:space="preserve">statutory </w:t>
      </w:r>
      <w:r w:rsidR="00DD3231" w:rsidRPr="000B1A98">
        <w:rPr>
          <w:rFonts w:ascii="Times New Roman" w:hAnsi="Times New Roman"/>
          <w:sz w:val="24"/>
        </w:rPr>
        <w:t>presumption against the development. The til</w:t>
      </w:r>
      <w:r w:rsidR="00C00DE2" w:rsidRPr="000B1A98">
        <w:rPr>
          <w:rFonts w:ascii="Times New Roman" w:hAnsi="Times New Roman"/>
          <w:sz w:val="24"/>
        </w:rPr>
        <w:t>t</w:t>
      </w:r>
      <w:r w:rsidR="00DD3231" w:rsidRPr="000B1A98">
        <w:rPr>
          <w:rFonts w:ascii="Times New Roman" w:hAnsi="Times New Roman"/>
          <w:sz w:val="24"/>
        </w:rPr>
        <w:t>ed balance within paragraph 11(d) is not engaged: there are relevant development plan policies, the most important policies are not out of date, and the</w:t>
      </w:r>
      <w:r w:rsidR="00C00DE2" w:rsidRPr="000B1A98">
        <w:rPr>
          <w:rFonts w:ascii="Times New Roman" w:hAnsi="Times New Roman"/>
          <w:sz w:val="24"/>
        </w:rPr>
        <w:t xml:space="preserve">re is no challenge to the 5 year HLS. </w:t>
      </w:r>
    </w:p>
    <w:p w14:paraId="665EE203" w14:textId="77777777" w:rsidR="00C00DE2" w:rsidRPr="000B1A98" w:rsidRDefault="00C00DE2" w:rsidP="00C00DE2">
      <w:pPr>
        <w:pStyle w:val="ListParagraph"/>
        <w:rPr>
          <w:rFonts w:ascii="Times New Roman" w:hAnsi="Times New Roman"/>
          <w:sz w:val="24"/>
        </w:rPr>
      </w:pPr>
    </w:p>
    <w:p w14:paraId="38B08158" w14:textId="217A14C4" w:rsidR="00C00DE2" w:rsidRPr="000B1A98" w:rsidRDefault="00C00DE2" w:rsidP="005076D2">
      <w:pPr>
        <w:pStyle w:val="ListParagraph"/>
        <w:numPr>
          <w:ilvl w:val="0"/>
          <w:numId w:val="1"/>
        </w:numPr>
        <w:spacing w:line="360" w:lineRule="auto"/>
        <w:jc w:val="both"/>
        <w:rPr>
          <w:rFonts w:ascii="Times New Roman" w:hAnsi="Times New Roman"/>
          <w:sz w:val="24"/>
        </w:rPr>
      </w:pPr>
      <w:r w:rsidRPr="000B1A98">
        <w:rPr>
          <w:rFonts w:ascii="Times New Roman" w:hAnsi="Times New Roman"/>
          <w:sz w:val="24"/>
        </w:rPr>
        <w:t>The Council, and Mrs Hull, recognise</w:t>
      </w:r>
      <w:r w:rsidR="00BD41A9" w:rsidRPr="000B1A98">
        <w:rPr>
          <w:rFonts w:ascii="Times New Roman" w:hAnsi="Times New Roman"/>
          <w:sz w:val="24"/>
        </w:rPr>
        <w:t xml:space="preserve"> that there are benefits from the delivery of 72 units, of which </w:t>
      </w:r>
      <w:r w:rsidR="002A7E6A" w:rsidRPr="000B1A98">
        <w:rPr>
          <w:rFonts w:ascii="Times New Roman" w:hAnsi="Times New Roman"/>
          <w:sz w:val="24"/>
        </w:rPr>
        <w:t>15 are to be shared ownership.</w:t>
      </w:r>
      <w:r w:rsidR="00F12FC2" w:rsidRPr="000B1A98">
        <w:rPr>
          <w:rFonts w:ascii="Times New Roman" w:hAnsi="Times New Roman"/>
          <w:sz w:val="24"/>
        </w:rPr>
        <w:t xml:space="preserve"> The</w:t>
      </w:r>
      <w:r w:rsidR="002722B2" w:rsidRPr="000B1A98">
        <w:rPr>
          <w:rFonts w:ascii="Times New Roman" w:hAnsi="Times New Roman"/>
          <w:sz w:val="24"/>
        </w:rPr>
        <w:t xml:space="preserve"> benefits of housing on the site goes to the reason why the site was allocated, and to the principle of its development. </w:t>
      </w:r>
      <w:r w:rsidR="002722B2" w:rsidRPr="000B1A98">
        <w:rPr>
          <w:rFonts w:ascii="Times New Roman" w:hAnsi="Times New Roman"/>
          <w:sz w:val="24"/>
        </w:rPr>
        <w:lastRenderedPageBreak/>
        <w:t xml:space="preserve">However, it does not – and cannot – justify </w:t>
      </w:r>
      <w:r w:rsidR="00090BDC" w:rsidRPr="000B1A98">
        <w:rPr>
          <w:rFonts w:ascii="Times New Roman" w:hAnsi="Times New Roman"/>
          <w:sz w:val="24"/>
        </w:rPr>
        <w:t>the failure to meet the requirements of national and local planning policy for good design. It cannot be put more clearly than it is in national policy</w:t>
      </w:r>
      <w:r w:rsidR="00AD7409" w:rsidRPr="000B1A98">
        <w:rPr>
          <w:rFonts w:ascii="Times New Roman" w:hAnsi="Times New Roman"/>
          <w:sz w:val="24"/>
        </w:rPr>
        <w:t>. The creation of high quality buildings and places is fundamental to what the planning and development process should achieve</w:t>
      </w:r>
      <w:r w:rsidR="009D54B3">
        <w:rPr>
          <w:rStyle w:val="FootnoteReference"/>
          <w:rFonts w:ascii="Times New Roman" w:hAnsi="Times New Roman"/>
          <w:sz w:val="24"/>
        </w:rPr>
        <w:footnoteReference w:id="15"/>
      </w:r>
      <w:r w:rsidR="00AD7409" w:rsidRPr="000B1A98">
        <w:rPr>
          <w:rFonts w:ascii="Times New Roman" w:hAnsi="Times New Roman"/>
          <w:sz w:val="24"/>
        </w:rPr>
        <w:t xml:space="preserve">. </w:t>
      </w:r>
      <w:r w:rsidR="003A77FA" w:rsidRPr="000B1A98">
        <w:rPr>
          <w:rFonts w:ascii="Times New Roman" w:hAnsi="Times New Roman"/>
          <w:sz w:val="24"/>
        </w:rPr>
        <w:t xml:space="preserve">Good design is a key aspect of sustainable development. Permission should be </w:t>
      </w:r>
      <w:r w:rsidR="003A77FA" w:rsidRPr="000B1A98">
        <w:rPr>
          <w:rFonts w:ascii="Times New Roman" w:hAnsi="Times New Roman"/>
          <w:sz w:val="24"/>
          <w:u w:val="single"/>
        </w:rPr>
        <w:t>refused</w:t>
      </w:r>
      <w:r w:rsidR="003A77FA" w:rsidRPr="000B1A98">
        <w:rPr>
          <w:rFonts w:ascii="Times New Roman" w:hAnsi="Times New Roman"/>
          <w:sz w:val="24"/>
        </w:rPr>
        <w:t xml:space="preserve"> for development of poor design that fails to take the </w:t>
      </w:r>
      <w:r w:rsidR="00B50D3A" w:rsidRPr="000B1A98">
        <w:rPr>
          <w:rFonts w:ascii="Times New Roman" w:hAnsi="Times New Roman"/>
          <w:sz w:val="24"/>
        </w:rPr>
        <w:t xml:space="preserve">opportunities available for improving the character and quality of an area and the way it functions. </w:t>
      </w:r>
      <w:r w:rsidR="00CC2095" w:rsidRPr="000B1A98">
        <w:rPr>
          <w:rFonts w:ascii="Times New Roman" w:hAnsi="Times New Roman"/>
          <w:sz w:val="24"/>
        </w:rPr>
        <w:t xml:space="preserve">This stipulation is reinforced in circumstances where the endorsement of less than good design will carry across to sites C and D. </w:t>
      </w:r>
      <w:r w:rsidR="007A1DC3" w:rsidRPr="000B1A98">
        <w:rPr>
          <w:rFonts w:ascii="Times New Roman" w:hAnsi="Times New Roman"/>
          <w:sz w:val="24"/>
        </w:rPr>
        <w:t>If the Inspector concludes that the proposals do not meet the appropriate design standards for good design then national policy provides the answer to this appeal. It must be refused.</w:t>
      </w:r>
    </w:p>
    <w:p w14:paraId="71A739B2" w14:textId="77777777" w:rsidR="007A1DC3" w:rsidRPr="000B1A98" w:rsidRDefault="007A1DC3" w:rsidP="007A1DC3">
      <w:pPr>
        <w:pStyle w:val="ListParagraph"/>
        <w:rPr>
          <w:rFonts w:ascii="Times New Roman" w:hAnsi="Times New Roman"/>
          <w:sz w:val="24"/>
        </w:rPr>
      </w:pPr>
    </w:p>
    <w:p w14:paraId="5E049A7B" w14:textId="36EAEA45" w:rsidR="007A1DC3" w:rsidRPr="000B1A98" w:rsidRDefault="007A1DC3" w:rsidP="007A1DC3">
      <w:pPr>
        <w:spacing w:line="360" w:lineRule="auto"/>
        <w:jc w:val="both"/>
        <w:rPr>
          <w:rFonts w:ascii="Times New Roman" w:hAnsi="Times New Roman"/>
          <w:sz w:val="24"/>
        </w:rPr>
      </w:pPr>
    </w:p>
    <w:p w14:paraId="6D2A269D" w14:textId="2AB0F973" w:rsidR="006C6C5F" w:rsidRPr="000B1A98" w:rsidRDefault="006C6C5F" w:rsidP="007A1DC3">
      <w:pPr>
        <w:spacing w:line="360" w:lineRule="auto"/>
        <w:jc w:val="both"/>
        <w:rPr>
          <w:rFonts w:ascii="Times New Roman" w:hAnsi="Times New Roman"/>
          <w:b/>
          <w:bCs/>
          <w:sz w:val="24"/>
        </w:rPr>
      </w:pPr>
      <w:r w:rsidRPr="000B1A98">
        <w:rPr>
          <w:rFonts w:ascii="Times New Roman" w:hAnsi="Times New Roman"/>
          <w:b/>
          <w:bCs/>
          <w:sz w:val="24"/>
        </w:rPr>
        <w:t>Landmark Chambers,</w:t>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t>GUY WILLIAMS</w:t>
      </w:r>
    </w:p>
    <w:p w14:paraId="370D974A" w14:textId="2E18C822" w:rsidR="006C6C5F" w:rsidRPr="000B1A98" w:rsidRDefault="006C6C5F" w:rsidP="007A1DC3">
      <w:pPr>
        <w:spacing w:line="360" w:lineRule="auto"/>
        <w:jc w:val="both"/>
        <w:rPr>
          <w:rFonts w:ascii="Times New Roman" w:hAnsi="Times New Roman"/>
          <w:b/>
          <w:bCs/>
          <w:sz w:val="24"/>
        </w:rPr>
      </w:pPr>
      <w:r w:rsidRPr="000B1A98">
        <w:rPr>
          <w:rFonts w:ascii="Times New Roman" w:hAnsi="Times New Roman"/>
          <w:b/>
          <w:bCs/>
          <w:sz w:val="24"/>
        </w:rPr>
        <w:t>180 Fleet Street,</w:t>
      </w:r>
    </w:p>
    <w:p w14:paraId="1AF8308D" w14:textId="4363E389" w:rsidR="00064F71" w:rsidRPr="009D54B3" w:rsidRDefault="006C6C5F" w:rsidP="009D54B3">
      <w:pPr>
        <w:spacing w:line="360" w:lineRule="auto"/>
        <w:jc w:val="both"/>
        <w:rPr>
          <w:rFonts w:ascii="Times New Roman" w:hAnsi="Times New Roman"/>
          <w:b/>
          <w:bCs/>
          <w:sz w:val="24"/>
        </w:rPr>
      </w:pPr>
      <w:r w:rsidRPr="000B1A98">
        <w:rPr>
          <w:rFonts w:ascii="Times New Roman" w:hAnsi="Times New Roman"/>
          <w:b/>
          <w:bCs/>
          <w:sz w:val="24"/>
        </w:rPr>
        <w:t>London EC4A 4HG</w:t>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r>
      <w:r w:rsidRPr="000B1A98">
        <w:rPr>
          <w:rFonts w:ascii="Times New Roman" w:hAnsi="Times New Roman"/>
          <w:b/>
          <w:bCs/>
          <w:sz w:val="24"/>
        </w:rPr>
        <w:tab/>
        <w:t>12</w:t>
      </w:r>
      <w:r w:rsidRPr="000B1A98">
        <w:rPr>
          <w:rFonts w:ascii="Times New Roman" w:hAnsi="Times New Roman"/>
          <w:b/>
          <w:bCs/>
          <w:sz w:val="24"/>
          <w:vertAlign w:val="superscript"/>
        </w:rPr>
        <w:t>th</w:t>
      </w:r>
      <w:r w:rsidRPr="000B1A98">
        <w:rPr>
          <w:rFonts w:ascii="Times New Roman" w:hAnsi="Times New Roman"/>
          <w:b/>
          <w:bCs/>
          <w:sz w:val="24"/>
        </w:rPr>
        <w:t xml:space="preserve"> January 2021.</w:t>
      </w:r>
    </w:p>
    <w:sectPr w:rsidR="00064F71" w:rsidRPr="009D54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335F7" w14:textId="77777777" w:rsidR="00502218" w:rsidRDefault="00502218" w:rsidP="000668AF">
      <w:pPr>
        <w:spacing w:after="0" w:line="240" w:lineRule="auto"/>
      </w:pPr>
      <w:r>
        <w:separator/>
      </w:r>
    </w:p>
  </w:endnote>
  <w:endnote w:type="continuationSeparator" w:id="0">
    <w:p w14:paraId="63112F11" w14:textId="77777777" w:rsidR="00502218" w:rsidRDefault="00502218" w:rsidP="00066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2480279"/>
      <w:docPartObj>
        <w:docPartGallery w:val="Page Numbers (Bottom of Page)"/>
        <w:docPartUnique/>
      </w:docPartObj>
    </w:sdtPr>
    <w:sdtEndPr>
      <w:rPr>
        <w:noProof/>
      </w:rPr>
    </w:sdtEndPr>
    <w:sdtContent>
      <w:p w14:paraId="3192677F" w14:textId="0ABAF50D" w:rsidR="005365BE" w:rsidRDefault="00536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67E0FA" w14:textId="77777777" w:rsidR="005365BE" w:rsidRDefault="00536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390EA" w14:textId="77777777" w:rsidR="00502218" w:rsidRDefault="00502218" w:rsidP="000668AF">
      <w:pPr>
        <w:spacing w:after="0" w:line="240" w:lineRule="auto"/>
      </w:pPr>
      <w:r>
        <w:separator/>
      </w:r>
    </w:p>
  </w:footnote>
  <w:footnote w:type="continuationSeparator" w:id="0">
    <w:p w14:paraId="6783B52D" w14:textId="77777777" w:rsidR="00502218" w:rsidRDefault="00502218" w:rsidP="000668AF">
      <w:pPr>
        <w:spacing w:after="0" w:line="240" w:lineRule="auto"/>
      </w:pPr>
      <w:r>
        <w:continuationSeparator/>
      </w:r>
    </w:p>
  </w:footnote>
  <w:footnote w:id="1">
    <w:p w14:paraId="49C9496C" w14:textId="5700F894" w:rsidR="000668AF" w:rsidRDefault="000668AF">
      <w:pPr>
        <w:pStyle w:val="FootnoteText"/>
      </w:pPr>
      <w:r>
        <w:rPr>
          <w:rStyle w:val="FootnoteReference"/>
        </w:rPr>
        <w:footnoteRef/>
      </w:r>
      <w:r>
        <w:t xml:space="preserve"> See Laura Stephens’ rebuttal at 2.1</w:t>
      </w:r>
    </w:p>
  </w:footnote>
  <w:footnote w:id="2">
    <w:p w14:paraId="1E725169" w14:textId="33226B3E" w:rsidR="00634B29" w:rsidRDefault="00634B29">
      <w:pPr>
        <w:pStyle w:val="FootnoteText"/>
      </w:pPr>
      <w:r>
        <w:rPr>
          <w:rStyle w:val="FootnoteReference"/>
        </w:rPr>
        <w:footnoteRef/>
      </w:r>
      <w:r>
        <w:t xml:space="preserve"> NPPF 130</w:t>
      </w:r>
    </w:p>
  </w:footnote>
  <w:footnote w:id="3">
    <w:p w14:paraId="67C3F76D" w14:textId="7F7464B9" w:rsidR="007631DA" w:rsidRDefault="007631DA">
      <w:pPr>
        <w:pStyle w:val="FootnoteText"/>
      </w:pPr>
      <w:r>
        <w:rPr>
          <w:rStyle w:val="FootnoteReference"/>
        </w:rPr>
        <w:footnoteRef/>
      </w:r>
      <w:r>
        <w:t xml:space="preserve"> See NPPF paras 126 and 130. </w:t>
      </w:r>
    </w:p>
  </w:footnote>
  <w:footnote w:id="4">
    <w:p w14:paraId="03E65A0A" w14:textId="548FFD77" w:rsidR="008E655F" w:rsidRDefault="008E655F">
      <w:pPr>
        <w:pStyle w:val="FootnoteText"/>
      </w:pPr>
      <w:r>
        <w:rPr>
          <w:rStyle w:val="FootnoteReference"/>
        </w:rPr>
        <w:footnoteRef/>
      </w:r>
      <w:r>
        <w:t xml:space="preserve"> NPPF 127</w:t>
      </w:r>
    </w:p>
  </w:footnote>
  <w:footnote w:id="5">
    <w:p w14:paraId="7F6283F6" w14:textId="62465983" w:rsidR="001C795E" w:rsidRDefault="001C795E">
      <w:pPr>
        <w:pStyle w:val="FootnoteText"/>
      </w:pPr>
      <w:r>
        <w:rPr>
          <w:rStyle w:val="FootnoteReference"/>
        </w:rPr>
        <w:footnoteRef/>
      </w:r>
      <w:r>
        <w:t xml:space="preserve"> NPPF 127</w:t>
      </w:r>
    </w:p>
  </w:footnote>
  <w:footnote w:id="6">
    <w:p w14:paraId="06BDD593" w14:textId="5CF2CF38" w:rsidR="00AA34D3" w:rsidRDefault="00AA34D3">
      <w:pPr>
        <w:pStyle w:val="FootnoteText"/>
      </w:pPr>
      <w:r>
        <w:rPr>
          <w:rStyle w:val="FootnoteReference"/>
        </w:rPr>
        <w:footnoteRef/>
      </w:r>
      <w:r>
        <w:t xml:space="preserve"> See </w:t>
      </w:r>
      <w:r w:rsidR="00CD5787">
        <w:t xml:space="preserve">now </w:t>
      </w:r>
      <w:r>
        <w:t xml:space="preserve">CS74 – which </w:t>
      </w:r>
      <w:r w:rsidR="00CD5787">
        <w:t xml:space="preserve">is </w:t>
      </w:r>
      <w:r>
        <w:t>consistent with NPPF 127</w:t>
      </w:r>
    </w:p>
  </w:footnote>
  <w:footnote w:id="7">
    <w:p w14:paraId="5D1205B5" w14:textId="56DA250C" w:rsidR="00FA743B" w:rsidRDefault="00FA743B">
      <w:pPr>
        <w:pStyle w:val="FootnoteText"/>
      </w:pPr>
      <w:r>
        <w:rPr>
          <w:rStyle w:val="FootnoteReference"/>
        </w:rPr>
        <w:footnoteRef/>
      </w:r>
      <w:r>
        <w:t xml:space="preserve"> CD 5.19 at 1.2</w:t>
      </w:r>
    </w:p>
  </w:footnote>
  <w:footnote w:id="8">
    <w:p w14:paraId="43862534" w14:textId="13BC81B6" w:rsidR="00D92B78" w:rsidRDefault="00D92B78">
      <w:pPr>
        <w:pStyle w:val="FootnoteText"/>
      </w:pPr>
      <w:r>
        <w:rPr>
          <w:rStyle w:val="FootnoteReference"/>
        </w:rPr>
        <w:footnoteRef/>
      </w:r>
      <w:r>
        <w:t xml:space="preserve"> 1.2</w:t>
      </w:r>
    </w:p>
  </w:footnote>
  <w:footnote w:id="9">
    <w:p w14:paraId="0C403ADC" w14:textId="6AC9918C" w:rsidR="00D92B78" w:rsidRDefault="00D92B78">
      <w:pPr>
        <w:pStyle w:val="FootnoteText"/>
      </w:pPr>
      <w:r>
        <w:rPr>
          <w:rStyle w:val="FootnoteReference"/>
        </w:rPr>
        <w:footnoteRef/>
      </w:r>
      <w:r>
        <w:t xml:space="preserve"> 3.2.6</w:t>
      </w:r>
    </w:p>
  </w:footnote>
  <w:footnote w:id="10">
    <w:p w14:paraId="2BA47B2F" w14:textId="71D99B7B" w:rsidR="00C66C98" w:rsidRDefault="00C66C98">
      <w:pPr>
        <w:pStyle w:val="FootnoteText"/>
      </w:pPr>
      <w:r>
        <w:rPr>
          <w:rStyle w:val="FootnoteReference"/>
        </w:rPr>
        <w:footnoteRef/>
      </w:r>
      <w:r>
        <w:t xml:space="preserve"> G1 to G3, p33</w:t>
      </w:r>
    </w:p>
  </w:footnote>
  <w:footnote w:id="11">
    <w:p w14:paraId="4B04C37B" w14:textId="0F2ADCA4" w:rsidR="00271224" w:rsidRDefault="00271224">
      <w:pPr>
        <w:pStyle w:val="FootnoteText"/>
      </w:pPr>
      <w:r>
        <w:rPr>
          <w:rStyle w:val="FootnoteReference"/>
        </w:rPr>
        <w:footnoteRef/>
      </w:r>
      <w:r>
        <w:t xml:space="preserve"> E.g. proof at 6.54</w:t>
      </w:r>
    </w:p>
  </w:footnote>
  <w:footnote w:id="12">
    <w:p w14:paraId="092F6C97" w14:textId="521A4E53" w:rsidR="000916F1" w:rsidRDefault="000916F1">
      <w:pPr>
        <w:pStyle w:val="FootnoteText"/>
      </w:pPr>
      <w:r>
        <w:rPr>
          <w:rStyle w:val="FootnoteReference"/>
        </w:rPr>
        <w:footnoteRef/>
      </w:r>
      <w:r>
        <w:t xml:space="preserve"> See Sarah Hull rebuttal</w:t>
      </w:r>
      <w:r w:rsidR="009800A8">
        <w:t xml:space="preserve"> section 2 and 2.19</w:t>
      </w:r>
    </w:p>
  </w:footnote>
  <w:footnote w:id="13">
    <w:p w14:paraId="07289CF5" w14:textId="09DF362C" w:rsidR="00B971E7" w:rsidRDefault="00B971E7">
      <w:pPr>
        <w:pStyle w:val="FootnoteText"/>
      </w:pPr>
      <w:r>
        <w:rPr>
          <w:rStyle w:val="FootnoteReference"/>
        </w:rPr>
        <w:footnoteRef/>
      </w:r>
      <w:r>
        <w:t xml:space="preserve"> See now NPPF 118 and 122</w:t>
      </w:r>
    </w:p>
  </w:footnote>
  <w:footnote w:id="14">
    <w:p w14:paraId="3CD1446F" w14:textId="3022AA6E" w:rsidR="001F6F2B" w:rsidRDefault="001F6F2B">
      <w:pPr>
        <w:pStyle w:val="FootnoteText"/>
      </w:pPr>
      <w:r>
        <w:rPr>
          <w:rStyle w:val="FootnoteReference"/>
        </w:rPr>
        <w:footnoteRef/>
      </w:r>
      <w:r>
        <w:t xml:space="preserve"> </w:t>
      </w:r>
      <w:r w:rsidR="00AA34D3">
        <w:t>CS26</w:t>
      </w:r>
    </w:p>
  </w:footnote>
  <w:footnote w:id="15">
    <w:p w14:paraId="637B5EEB" w14:textId="101003BA" w:rsidR="009D54B3" w:rsidRDefault="009D54B3">
      <w:pPr>
        <w:pStyle w:val="FootnoteText"/>
      </w:pPr>
      <w:r>
        <w:rPr>
          <w:rStyle w:val="FootnoteReference"/>
        </w:rPr>
        <w:footnoteRef/>
      </w:r>
      <w:r>
        <w:t xml:space="preserve"> NPPF 124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72926"/>
    <w:multiLevelType w:val="hybridMultilevel"/>
    <w:tmpl w:val="44F6FE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891"/>
    <w:rsid w:val="000048C4"/>
    <w:rsid w:val="000254F0"/>
    <w:rsid w:val="00056238"/>
    <w:rsid w:val="00064F71"/>
    <w:rsid w:val="000668AF"/>
    <w:rsid w:val="0008161E"/>
    <w:rsid w:val="00090BDC"/>
    <w:rsid w:val="000916F1"/>
    <w:rsid w:val="000B1A98"/>
    <w:rsid w:val="001138AD"/>
    <w:rsid w:val="00162130"/>
    <w:rsid w:val="001718DE"/>
    <w:rsid w:val="00173606"/>
    <w:rsid w:val="00176605"/>
    <w:rsid w:val="00193F90"/>
    <w:rsid w:val="001B1BA8"/>
    <w:rsid w:val="001C795E"/>
    <w:rsid w:val="001D2570"/>
    <w:rsid w:val="001E7D8B"/>
    <w:rsid w:val="001F6F2B"/>
    <w:rsid w:val="00202FA4"/>
    <w:rsid w:val="0021202F"/>
    <w:rsid w:val="002424CB"/>
    <w:rsid w:val="002467F1"/>
    <w:rsid w:val="00270FA4"/>
    <w:rsid w:val="00271224"/>
    <w:rsid w:val="002722B2"/>
    <w:rsid w:val="00281450"/>
    <w:rsid w:val="002A7E6A"/>
    <w:rsid w:val="002C0718"/>
    <w:rsid w:val="0032454A"/>
    <w:rsid w:val="0032767E"/>
    <w:rsid w:val="00340A91"/>
    <w:rsid w:val="0034384C"/>
    <w:rsid w:val="003558C0"/>
    <w:rsid w:val="003724BA"/>
    <w:rsid w:val="00396A54"/>
    <w:rsid w:val="003A77FA"/>
    <w:rsid w:val="003B1D03"/>
    <w:rsid w:val="003C0DD5"/>
    <w:rsid w:val="003F26C2"/>
    <w:rsid w:val="003F30B5"/>
    <w:rsid w:val="00421C64"/>
    <w:rsid w:val="00430423"/>
    <w:rsid w:val="00444A96"/>
    <w:rsid w:val="0045172D"/>
    <w:rsid w:val="00457961"/>
    <w:rsid w:val="00465D73"/>
    <w:rsid w:val="00470244"/>
    <w:rsid w:val="00483033"/>
    <w:rsid w:val="004C37D0"/>
    <w:rsid w:val="004D03B8"/>
    <w:rsid w:val="004D064F"/>
    <w:rsid w:val="00502218"/>
    <w:rsid w:val="005076D2"/>
    <w:rsid w:val="00516E78"/>
    <w:rsid w:val="005365BE"/>
    <w:rsid w:val="005443DD"/>
    <w:rsid w:val="00557503"/>
    <w:rsid w:val="00557E8C"/>
    <w:rsid w:val="005632D7"/>
    <w:rsid w:val="005636E5"/>
    <w:rsid w:val="00565603"/>
    <w:rsid w:val="005808B1"/>
    <w:rsid w:val="00585657"/>
    <w:rsid w:val="0058570B"/>
    <w:rsid w:val="005C0672"/>
    <w:rsid w:val="005E49C5"/>
    <w:rsid w:val="00634B29"/>
    <w:rsid w:val="00635F95"/>
    <w:rsid w:val="006549E5"/>
    <w:rsid w:val="00663825"/>
    <w:rsid w:val="00691D87"/>
    <w:rsid w:val="00693442"/>
    <w:rsid w:val="006A2A65"/>
    <w:rsid w:val="006B0E5C"/>
    <w:rsid w:val="006C5D24"/>
    <w:rsid w:val="006C6C5F"/>
    <w:rsid w:val="006E43F9"/>
    <w:rsid w:val="006F15FC"/>
    <w:rsid w:val="00734B7E"/>
    <w:rsid w:val="00746744"/>
    <w:rsid w:val="007631DA"/>
    <w:rsid w:val="00764FB9"/>
    <w:rsid w:val="007920ED"/>
    <w:rsid w:val="007A0B87"/>
    <w:rsid w:val="007A1DC3"/>
    <w:rsid w:val="007D592B"/>
    <w:rsid w:val="007E1F75"/>
    <w:rsid w:val="007E58AB"/>
    <w:rsid w:val="007F0AFE"/>
    <w:rsid w:val="008035A5"/>
    <w:rsid w:val="008175E4"/>
    <w:rsid w:val="00890C03"/>
    <w:rsid w:val="008A34AD"/>
    <w:rsid w:val="008A541E"/>
    <w:rsid w:val="008B01AA"/>
    <w:rsid w:val="008B1F5F"/>
    <w:rsid w:val="008D414E"/>
    <w:rsid w:val="008D47C9"/>
    <w:rsid w:val="008E54D5"/>
    <w:rsid w:val="008E655F"/>
    <w:rsid w:val="00923100"/>
    <w:rsid w:val="00937D9C"/>
    <w:rsid w:val="00946FB9"/>
    <w:rsid w:val="00950E4E"/>
    <w:rsid w:val="00952F75"/>
    <w:rsid w:val="009800A8"/>
    <w:rsid w:val="00981BBC"/>
    <w:rsid w:val="00985EB6"/>
    <w:rsid w:val="009D54B3"/>
    <w:rsid w:val="009F0175"/>
    <w:rsid w:val="00A1389E"/>
    <w:rsid w:val="00A14C85"/>
    <w:rsid w:val="00A43A16"/>
    <w:rsid w:val="00A51015"/>
    <w:rsid w:val="00A6591A"/>
    <w:rsid w:val="00A81759"/>
    <w:rsid w:val="00A94095"/>
    <w:rsid w:val="00A947A2"/>
    <w:rsid w:val="00A95D7E"/>
    <w:rsid w:val="00AA34D3"/>
    <w:rsid w:val="00AA3BF1"/>
    <w:rsid w:val="00AC7BA2"/>
    <w:rsid w:val="00AD7409"/>
    <w:rsid w:val="00AE2AEA"/>
    <w:rsid w:val="00B05891"/>
    <w:rsid w:val="00B304B6"/>
    <w:rsid w:val="00B3128C"/>
    <w:rsid w:val="00B31D4A"/>
    <w:rsid w:val="00B3361C"/>
    <w:rsid w:val="00B50D3A"/>
    <w:rsid w:val="00B80B9A"/>
    <w:rsid w:val="00B935BF"/>
    <w:rsid w:val="00B971E7"/>
    <w:rsid w:val="00BB27E4"/>
    <w:rsid w:val="00BC1E19"/>
    <w:rsid w:val="00BD0A44"/>
    <w:rsid w:val="00BD41A9"/>
    <w:rsid w:val="00BF59B5"/>
    <w:rsid w:val="00C00DE2"/>
    <w:rsid w:val="00C149F1"/>
    <w:rsid w:val="00C51669"/>
    <w:rsid w:val="00C51C6F"/>
    <w:rsid w:val="00C629C5"/>
    <w:rsid w:val="00C66C98"/>
    <w:rsid w:val="00C82778"/>
    <w:rsid w:val="00CC2095"/>
    <w:rsid w:val="00CC44FB"/>
    <w:rsid w:val="00CD5787"/>
    <w:rsid w:val="00D71B7D"/>
    <w:rsid w:val="00D74E74"/>
    <w:rsid w:val="00D90FF0"/>
    <w:rsid w:val="00D92B78"/>
    <w:rsid w:val="00DB48D8"/>
    <w:rsid w:val="00DD198B"/>
    <w:rsid w:val="00DD3231"/>
    <w:rsid w:val="00DF0048"/>
    <w:rsid w:val="00E1050A"/>
    <w:rsid w:val="00EA568E"/>
    <w:rsid w:val="00EA57B7"/>
    <w:rsid w:val="00EB5242"/>
    <w:rsid w:val="00EF23F0"/>
    <w:rsid w:val="00F0071F"/>
    <w:rsid w:val="00F12FC2"/>
    <w:rsid w:val="00F322A6"/>
    <w:rsid w:val="00F477C6"/>
    <w:rsid w:val="00F668D5"/>
    <w:rsid w:val="00F87738"/>
    <w:rsid w:val="00F958FD"/>
    <w:rsid w:val="00FA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5C95F"/>
  <w15:chartTrackingRefBased/>
  <w15:docId w15:val="{34D4B6F9-03CD-44EE-815A-C0048396D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891"/>
    <w:pPr>
      <w:ind w:left="720"/>
      <w:contextualSpacing/>
    </w:pPr>
  </w:style>
  <w:style w:type="paragraph" w:styleId="FootnoteText">
    <w:name w:val="footnote text"/>
    <w:basedOn w:val="Normal"/>
    <w:link w:val="FootnoteTextChar"/>
    <w:uiPriority w:val="99"/>
    <w:semiHidden/>
    <w:unhideWhenUsed/>
    <w:rsid w:val="000668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68AF"/>
    <w:rPr>
      <w:sz w:val="20"/>
      <w:szCs w:val="20"/>
    </w:rPr>
  </w:style>
  <w:style w:type="character" w:styleId="FootnoteReference">
    <w:name w:val="footnote reference"/>
    <w:basedOn w:val="DefaultParagraphFont"/>
    <w:uiPriority w:val="99"/>
    <w:semiHidden/>
    <w:unhideWhenUsed/>
    <w:rsid w:val="000668AF"/>
    <w:rPr>
      <w:vertAlign w:val="superscript"/>
    </w:rPr>
  </w:style>
  <w:style w:type="paragraph" w:styleId="Header">
    <w:name w:val="header"/>
    <w:basedOn w:val="Normal"/>
    <w:link w:val="HeaderChar"/>
    <w:uiPriority w:val="99"/>
    <w:unhideWhenUsed/>
    <w:rsid w:val="005365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65BE"/>
  </w:style>
  <w:style w:type="paragraph" w:styleId="Footer">
    <w:name w:val="footer"/>
    <w:basedOn w:val="Normal"/>
    <w:link w:val="FooterChar"/>
    <w:uiPriority w:val="99"/>
    <w:unhideWhenUsed/>
    <w:rsid w:val="005365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65BE"/>
  </w:style>
  <w:style w:type="paragraph" w:styleId="BalloonText">
    <w:name w:val="Balloon Text"/>
    <w:basedOn w:val="Normal"/>
    <w:link w:val="BalloonTextChar"/>
    <w:uiPriority w:val="99"/>
    <w:semiHidden/>
    <w:unhideWhenUsed/>
    <w:rsid w:val="00324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2232</Words>
  <Characters>12725</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Williams</dc:creator>
  <cp:keywords/>
  <dc:description/>
  <cp:lastModifiedBy>Guy Williams</cp:lastModifiedBy>
  <cp:revision>169</cp:revision>
  <cp:lastPrinted>2021-01-11T18:10:00Z</cp:lastPrinted>
  <dcterms:created xsi:type="dcterms:W3CDTF">2021-01-10T09:45:00Z</dcterms:created>
  <dcterms:modified xsi:type="dcterms:W3CDTF">2021-01-12T08:45:00Z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1695331360</vt:i4>
  </property>
  <property fmtid="{D5CDD505-2E9C-101B-9397-08002B2CF9AE}" pid="3" name="_NewReviewCycle">
    <vt:lpwstr/>
  </property>
  <property fmtid="{D5CDD505-2E9C-101B-9397-08002B2CF9AE}" pid="4" name="_EmailSubject">
    <vt:lpwstr>opening</vt:lpwstr>
  </property>
  <property fmtid="{D5CDD505-2E9C-101B-9397-08002B2CF9AE}" pid="5" name="_AuthorEmail">
    <vt:lpwstr>josh.kitson@walkermorris.co.uk</vt:lpwstr>
  </property>
  <property fmtid="{D5CDD505-2E9C-101B-9397-08002B2CF9AE}" pid="6" name="_AuthorEmailDisplayName">
    <vt:lpwstr>Josh Kitson</vt:lpwstr>
  </property>
</Properties>
</file>